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E81B9" w14:textId="77777777" w:rsidR="008865D3" w:rsidRPr="008865D3" w:rsidRDefault="008865D3" w:rsidP="008865D3">
      <w:pPr>
        <w:pStyle w:val="Kopfzeile"/>
        <w:spacing w:after="120" w:line="259" w:lineRule="auto"/>
        <w:ind w:right="-2"/>
        <w:rPr>
          <w:rFonts w:ascii="Calibri" w:hAnsi="Calibri" w:cs="Calibri"/>
          <w:color w:val="156082" w:themeColor="accent1"/>
          <w:sz w:val="18"/>
          <w:szCs w:val="18"/>
          <w:u w:val="single"/>
        </w:rPr>
      </w:pPr>
      <w:r w:rsidRPr="008865D3">
        <w:rPr>
          <w:rFonts w:ascii="Calibri" w:hAnsi="Calibri" w:cs="Calibri"/>
          <w:color w:val="83CAEB" w:themeColor="accent1" w:themeTint="66"/>
          <w:sz w:val="18"/>
          <w:szCs w:val="18"/>
          <w:u w:val="single"/>
        </w:rPr>
        <w:t>Schweiz. Konsumentenforum, Belpstrasse 11, 3007 Bern</w:t>
      </w:r>
    </w:p>
    <w:p w14:paraId="11F33F92" w14:textId="6A47F9CD" w:rsidR="008865D3" w:rsidRPr="008865D3" w:rsidRDefault="008865D3" w:rsidP="008865D3">
      <w:pPr>
        <w:tabs>
          <w:tab w:val="right" w:pos="9072"/>
        </w:tabs>
        <w:spacing w:after="0"/>
        <w:rPr>
          <w:rFonts w:ascii="Calibri" w:hAnsi="Calibri" w:cs="Calibri"/>
        </w:rPr>
      </w:pPr>
      <w:r w:rsidRPr="008865D3">
        <w:rPr>
          <w:rFonts w:ascii="Calibri" w:hAnsi="Calibri" w:cs="Calibri"/>
        </w:rPr>
        <w:t>Staatssekretariat für Wirtschaft SECO</w:t>
      </w:r>
    </w:p>
    <w:p w14:paraId="38EA5160" w14:textId="77777777" w:rsidR="008865D3" w:rsidRPr="008865D3" w:rsidRDefault="008865D3" w:rsidP="008865D3">
      <w:pPr>
        <w:spacing w:after="0" w:line="276" w:lineRule="auto"/>
        <w:jc w:val="both"/>
        <w:rPr>
          <w:rFonts w:ascii="Calibri" w:hAnsi="Calibri" w:cs="Calibri"/>
        </w:rPr>
      </w:pPr>
      <w:r w:rsidRPr="008865D3">
        <w:rPr>
          <w:rFonts w:ascii="Calibri" w:hAnsi="Calibri" w:cs="Calibri"/>
        </w:rPr>
        <w:t xml:space="preserve">z. H. Herrn Andreas Maschemer (KFZV) </w:t>
      </w:r>
    </w:p>
    <w:p w14:paraId="664466EA" w14:textId="505DC8B9" w:rsidR="008865D3" w:rsidRPr="008865D3" w:rsidRDefault="008865D3" w:rsidP="008865D3">
      <w:pPr>
        <w:spacing w:after="0" w:line="276" w:lineRule="auto"/>
        <w:jc w:val="both"/>
        <w:rPr>
          <w:rFonts w:ascii="Calibri" w:hAnsi="Calibri" w:cs="Calibri"/>
        </w:rPr>
      </w:pPr>
      <w:r w:rsidRPr="008865D3">
        <w:rPr>
          <w:rFonts w:ascii="Calibri" w:hAnsi="Calibri" w:cs="Calibri"/>
        </w:rPr>
        <w:t>Frau Lea Steinmann (PBV)</w:t>
      </w:r>
    </w:p>
    <w:p w14:paraId="0A2313C7" w14:textId="77777777" w:rsidR="008865D3" w:rsidRPr="008865D3" w:rsidRDefault="008865D3" w:rsidP="008865D3">
      <w:pPr>
        <w:tabs>
          <w:tab w:val="right" w:pos="9072"/>
        </w:tabs>
        <w:spacing w:after="0"/>
        <w:rPr>
          <w:rFonts w:ascii="Calibri" w:hAnsi="Calibri" w:cs="Calibri"/>
        </w:rPr>
      </w:pPr>
      <w:proofErr w:type="spellStart"/>
      <w:r w:rsidRPr="008865D3">
        <w:rPr>
          <w:rFonts w:ascii="Calibri" w:hAnsi="Calibri" w:cs="Calibri"/>
        </w:rPr>
        <w:t>Holzikofenweg</w:t>
      </w:r>
      <w:proofErr w:type="spellEnd"/>
      <w:r w:rsidRPr="008865D3">
        <w:rPr>
          <w:rFonts w:ascii="Calibri" w:hAnsi="Calibri" w:cs="Calibri"/>
        </w:rPr>
        <w:t xml:space="preserve"> 36</w:t>
      </w:r>
    </w:p>
    <w:p w14:paraId="48AEC309" w14:textId="77777777" w:rsidR="008865D3" w:rsidRPr="008865D3" w:rsidRDefault="008865D3" w:rsidP="008865D3">
      <w:pPr>
        <w:tabs>
          <w:tab w:val="right" w:pos="9072"/>
        </w:tabs>
        <w:spacing w:after="240"/>
        <w:rPr>
          <w:rFonts w:ascii="Calibri" w:hAnsi="Calibri" w:cs="Calibri"/>
          <w:b/>
          <w:bCs/>
          <w:color w:val="0F9ED5" w:themeColor="accent4"/>
          <w:u w:val="single"/>
        </w:rPr>
      </w:pPr>
      <w:r w:rsidRPr="008865D3">
        <w:rPr>
          <w:rFonts w:ascii="Calibri" w:hAnsi="Calibri" w:cs="Calibri"/>
        </w:rPr>
        <w:t xml:space="preserve">3003 </w:t>
      </w:r>
      <w:r w:rsidRPr="008865D3">
        <w:rPr>
          <w:rFonts w:ascii="Calibri" w:hAnsi="Calibri" w:cs="Calibri"/>
          <w:b/>
          <w:bCs/>
          <w:color w:val="95DCF7" w:themeColor="accent4" w:themeTint="66"/>
        </w:rPr>
        <w:t>Bern</w:t>
      </w:r>
      <w:r w:rsidRPr="008865D3">
        <w:rPr>
          <w:rFonts w:ascii="Calibri" w:hAnsi="Calibri" w:cs="Calibri"/>
          <w:b/>
          <w:bCs/>
          <w:color w:val="95DCF7" w:themeColor="accent4" w:themeTint="66"/>
          <w:u w:val="single"/>
        </w:rPr>
        <w:t xml:space="preserve"> </w:t>
      </w:r>
    </w:p>
    <w:p w14:paraId="737D18A4" w14:textId="691488B8" w:rsidR="008865D3" w:rsidRPr="008865D3" w:rsidRDefault="008865D3" w:rsidP="008865D3">
      <w:pPr>
        <w:pStyle w:val="KeinLeerraum"/>
        <w:spacing w:after="120"/>
        <w:rPr>
          <w:rFonts w:ascii="Calibri" w:hAnsi="Calibri" w:cs="Calibri"/>
          <w:color w:val="83CAEB" w:themeColor="accent1" w:themeTint="66"/>
        </w:rPr>
      </w:pPr>
      <w:r w:rsidRPr="008865D3">
        <w:rPr>
          <w:rFonts w:ascii="Calibri" w:hAnsi="Calibri" w:cs="Calibri"/>
        </w:rPr>
        <w:t>Per Mail an</w:t>
      </w:r>
      <w:r w:rsidRPr="008865D3">
        <w:rPr>
          <w:rFonts w:ascii="Calibri" w:hAnsi="Calibri" w:cs="Calibri"/>
          <w:i/>
          <w:iCs/>
          <w:color w:val="83CAEB" w:themeColor="accent1" w:themeTint="66"/>
          <w:sz w:val="20"/>
          <w:szCs w:val="20"/>
        </w:rPr>
        <w:t xml:space="preserve"> </w:t>
      </w:r>
      <w:hyperlink r:id="rId5" w:history="1">
        <w:r w:rsidRPr="008865D3">
          <w:rPr>
            <w:rStyle w:val="Hyperlink"/>
            <w:rFonts w:ascii="Calibri" w:hAnsi="Calibri" w:cs="Calibri"/>
            <w:color w:val="95DCF7" w:themeColor="accent4" w:themeTint="66"/>
          </w:rPr>
          <w:t>wp-sekretariat@seco.admin.ch</w:t>
        </w:r>
      </w:hyperlink>
      <w:r w:rsidRPr="008865D3">
        <w:rPr>
          <w:rFonts w:ascii="Calibri" w:hAnsi="Calibri" w:cs="Calibri"/>
          <w:color w:val="95DCF7" w:themeColor="accent4" w:themeTint="66"/>
        </w:rPr>
        <w:t xml:space="preserve"> </w:t>
      </w:r>
    </w:p>
    <w:p w14:paraId="21274CC2" w14:textId="77777777" w:rsidR="008865D3" w:rsidRPr="008865D3" w:rsidRDefault="008865D3" w:rsidP="008865D3">
      <w:pPr>
        <w:tabs>
          <w:tab w:val="right" w:pos="9072"/>
        </w:tabs>
        <w:spacing w:after="0"/>
        <w:rPr>
          <w:rFonts w:ascii="Calibri" w:hAnsi="Calibri" w:cs="Calibri"/>
          <w:b/>
          <w:bCs/>
          <w:u w:val="single"/>
        </w:rPr>
      </w:pPr>
    </w:p>
    <w:p w14:paraId="4F721D6B" w14:textId="67DF75E6" w:rsidR="00A2531E" w:rsidRPr="008865D3" w:rsidRDefault="008865D3" w:rsidP="008865D3">
      <w:pPr>
        <w:tabs>
          <w:tab w:val="right" w:pos="9072"/>
        </w:tabs>
        <w:spacing w:after="360"/>
        <w:rPr>
          <w:rFonts w:ascii="Calibri" w:hAnsi="Calibri" w:cs="Calibri"/>
        </w:rPr>
      </w:pPr>
      <w:r w:rsidRPr="008865D3">
        <w:rPr>
          <w:rFonts w:ascii="Calibri" w:hAnsi="Calibri" w:cs="Calibri"/>
        </w:rPr>
        <w:t xml:space="preserve">Bern, </w:t>
      </w:r>
      <w:r w:rsidRPr="008865D3">
        <w:rPr>
          <w:rFonts w:ascii="Calibri" w:hAnsi="Calibri" w:cs="Calibri"/>
        </w:rPr>
        <w:t>26</w:t>
      </w:r>
      <w:r w:rsidRPr="008865D3">
        <w:rPr>
          <w:rFonts w:ascii="Calibri" w:hAnsi="Calibri" w:cs="Calibri"/>
        </w:rPr>
        <w:t xml:space="preserve">. </w:t>
      </w:r>
      <w:r w:rsidRPr="008865D3">
        <w:rPr>
          <w:rFonts w:ascii="Calibri" w:hAnsi="Calibri" w:cs="Calibri"/>
        </w:rPr>
        <w:t>August</w:t>
      </w:r>
      <w:r w:rsidRPr="008865D3">
        <w:rPr>
          <w:rFonts w:ascii="Calibri" w:hAnsi="Calibri" w:cs="Calibri"/>
        </w:rPr>
        <w:t xml:space="preserve"> 2026</w:t>
      </w:r>
    </w:p>
    <w:p w14:paraId="6EC30063" w14:textId="77777777" w:rsidR="008865D3" w:rsidRPr="008865D3" w:rsidRDefault="008865D3" w:rsidP="008865D3">
      <w:pPr>
        <w:spacing w:line="276" w:lineRule="auto"/>
        <w:rPr>
          <w:rFonts w:ascii="Calibri" w:hAnsi="Calibri" w:cs="Calibri"/>
          <w:color w:val="95DCF7" w:themeColor="accent4" w:themeTint="66"/>
          <w:sz w:val="28"/>
          <w:szCs w:val="28"/>
        </w:rPr>
      </w:pPr>
      <w:r w:rsidRPr="008865D3">
        <w:rPr>
          <w:rFonts w:ascii="Calibri" w:hAnsi="Calibri" w:cs="Calibri"/>
          <w:b/>
          <w:bCs/>
          <w:color w:val="95DCF7" w:themeColor="accent4" w:themeTint="66"/>
          <w:sz w:val="28"/>
          <w:szCs w:val="28"/>
        </w:rPr>
        <w:t xml:space="preserve">Änderung der Verordnung über die wettbewerbsrechtliche Behandlung von vertikalen Abreden im Kraftfahrzeugsektor (KFZ-Verordnung, KFZV; SR 251.6) und der </w:t>
      </w:r>
      <w:proofErr w:type="spellStart"/>
      <w:r w:rsidRPr="008865D3">
        <w:rPr>
          <w:rFonts w:ascii="Calibri" w:hAnsi="Calibri" w:cs="Calibri"/>
          <w:b/>
          <w:bCs/>
          <w:color w:val="95DCF7" w:themeColor="accent4" w:themeTint="66"/>
          <w:sz w:val="28"/>
          <w:szCs w:val="28"/>
        </w:rPr>
        <w:t>Preisbekanntgabeverordnung</w:t>
      </w:r>
      <w:proofErr w:type="spellEnd"/>
      <w:r w:rsidRPr="008865D3">
        <w:rPr>
          <w:rFonts w:ascii="Calibri" w:hAnsi="Calibri" w:cs="Calibri"/>
          <w:b/>
          <w:bCs/>
          <w:color w:val="95DCF7" w:themeColor="accent4" w:themeTint="66"/>
          <w:sz w:val="28"/>
          <w:szCs w:val="28"/>
        </w:rPr>
        <w:t xml:space="preserve"> (PBV; SR 942.211)</w:t>
      </w:r>
    </w:p>
    <w:p w14:paraId="2FDE094B" w14:textId="77777777" w:rsidR="008865D3" w:rsidRPr="008865D3" w:rsidRDefault="008865D3" w:rsidP="008865D3">
      <w:pPr>
        <w:tabs>
          <w:tab w:val="left" w:pos="709"/>
        </w:tabs>
        <w:spacing w:after="120"/>
        <w:contextualSpacing/>
        <w:jc w:val="both"/>
        <w:rPr>
          <w:rFonts w:ascii="Calibri" w:hAnsi="Calibri" w:cs="Calibri"/>
        </w:rPr>
      </w:pPr>
    </w:p>
    <w:p w14:paraId="219ED986" w14:textId="68B820C2" w:rsidR="008865D3" w:rsidRPr="008865D3" w:rsidRDefault="008865D3" w:rsidP="008865D3">
      <w:pPr>
        <w:spacing w:after="0" w:line="276" w:lineRule="auto"/>
        <w:jc w:val="both"/>
        <w:rPr>
          <w:rFonts w:ascii="Calibri" w:hAnsi="Calibri" w:cs="Calibri"/>
        </w:rPr>
      </w:pPr>
      <w:r w:rsidRPr="008865D3">
        <w:rPr>
          <w:rFonts w:ascii="Calibri" w:hAnsi="Calibri" w:cs="Calibri"/>
        </w:rPr>
        <w:t>Sehr geehrter Herr Maschemer, sehr geehrte Frau Steinmann</w:t>
      </w:r>
    </w:p>
    <w:p w14:paraId="23321BBD" w14:textId="64335DB5" w:rsidR="008865D3" w:rsidRPr="008865D3" w:rsidRDefault="008865D3" w:rsidP="008865D3">
      <w:pPr>
        <w:spacing w:line="276" w:lineRule="auto"/>
        <w:jc w:val="both"/>
        <w:rPr>
          <w:rFonts w:ascii="Calibri" w:hAnsi="Calibri" w:cs="Calibri"/>
        </w:rPr>
      </w:pPr>
      <w:r w:rsidRPr="008865D3">
        <w:rPr>
          <w:rFonts w:ascii="Calibri" w:hAnsi="Calibri" w:cs="Calibri"/>
        </w:rPr>
        <w:t>sehr geehrte Damen und Herren</w:t>
      </w:r>
    </w:p>
    <w:p w14:paraId="2508DC75" w14:textId="37817FF7" w:rsidR="008865D3" w:rsidRPr="008865D3" w:rsidRDefault="008865D3" w:rsidP="006F24C8">
      <w:pPr>
        <w:spacing w:after="120"/>
        <w:rPr>
          <w:rFonts w:ascii="Calibri" w:hAnsi="Calibri" w:cs="Calibri"/>
        </w:rPr>
      </w:pPr>
      <w:r w:rsidRPr="008865D3">
        <w:rPr>
          <w:rFonts w:ascii="Calibri" w:hAnsi="Calibri" w:cs="Calibri"/>
        </w:rPr>
        <w:t>Das Schweizerische Konsumentenforum kf bedankt sich für die Möglichkeit, an dieser Vernehmlassung teil</w:t>
      </w:r>
      <w:r w:rsidR="006F24C8">
        <w:rPr>
          <w:rFonts w:ascii="Calibri" w:hAnsi="Calibri" w:cs="Calibri"/>
        </w:rPr>
        <w:t>-</w:t>
      </w:r>
      <w:r w:rsidRPr="008865D3">
        <w:rPr>
          <w:rFonts w:ascii="Calibri" w:hAnsi="Calibri" w:cs="Calibri"/>
        </w:rPr>
        <w:t xml:space="preserve">nehmen zu können und nimmt </w:t>
      </w:r>
      <w:r w:rsidRPr="008865D3">
        <w:rPr>
          <w:rFonts w:ascii="Calibri" w:hAnsi="Calibri" w:cs="Calibri"/>
        </w:rPr>
        <w:t xml:space="preserve">gern </w:t>
      </w:r>
      <w:r w:rsidRPr="008865D3">
        <w:rPr>
          <w:rFonts w:ascii="Calibri" w:hAnsi="Calibri" w:cs="Calibri"/>
        </w:rPr>
        <w:t xml:space="preserve">Stellung. Aus Konsumentensicht begrüssen wir die Vorlage </w:t>
      </w:r>
      <w:proofErr w:type="spellStart"/>
      <w:r w:rsidRPr="008865D3">
        <w:rPr>
          <w:rFonts w:ascii="Calibri" w:hAnsi="Calibri" w:cs="Calibri"/>
        </w:rPr>
        <w:t>grundsätz</w:t>
      </w:r>
      <w:r w:rsidR="006F24C8">
        <w:rPr>
          <w:rFonts w:ascii="Calibri" w:hAnsi="Calibri" w:cs="Calibri"/>
        </w:rPr>
        <w:t>-</w:t>
      </w:r>
      <w:r w:rsidRPr="008865D3">
        <w:rPr>
          <w:rFonts w:ascii="Calibri" w:hAnsi="Calibri" w:cs="Calibri"/>
        </w:rPr>
        <w:t>lich</w:t>
      </w:r>
      <w:proofErr w:type="spellEnd"/>
      <w:r w:rsidRPr="008865D3">
        <w:rPr>
          <w:rFonts w:ascii="Calibri" w:hAnsi="Calibri" w:cs="Calibri"/>
        </w:rPr>
        <w:t>. Sie stärkt die Transparenz im Fahrzeugleasing und verbessert die Rechtssicherheit für unabhängige Garagen, Werkstätten und Händler. Gleichzeitig beantragen wir, den parlamentarischen Auftrag vollständig umzusetzen und die verbleibenden Lücken bei der KFZV zu schliessen.</w:t>
      </w:r>
    </w:p>
    <w:p w14:paraId="5FFE44AD" w14:textId="77777777" w:rsidR="008865D3" w:rsidRPr="008865D3" w:rsidRDefault="008865D3" w:rsidP="006F24C8">
      <w:pPr>
        <w:spacing w:after="60"/>
        <w:rPr>
          <w:rFonts w:ascii="Calibri" w:hAnsi="Calibri" w:cs="Calibri"/>
          <w:b/>
          <w:bCs/>
          <w:color w:val="95DCF7" w:themeColor="accent4" w:themeTint="66"/>
        </w:rPr>
      </w:pPr>
      <w:r w:rsidRPr="008865D3">
        <w:rPr>
          <w:rFonts w:ascii="Calibri" w:hAnsi="Calibri" w:cs="Calibri"/>
          <w:b/>
          <w:bCs/>
          <w:color w:val="95DCF7" w:themeColor="accent4" w:themeTint="66"/>
        </w:rPr>
        <w:t>1. Position in einem Satz</w:t>
      </w:r>
    </w:p>
    <w:p w14:paraId="389D8853" w14:textId="77777777" w:rsidR="008865D3" w:rsidRPr="008865D3" w:rsidRDefault="008865D3" w:rsidP="006F24C8">
      <w:pPr>
        <w:spacing w:after="120"/>
        <w:rPr>
          <w:rFonts w:ascii="Calibri" w:hAnsi="Calibri" w:cs="Calibri"/>
        </w:rPr>
      </w:pPr>
      <w:r w:rsidRPr="008865D3">
        <w:rPr>
          <w:rFonts w:ascii="Calibri" w:hAnsi="Calibri" w:cs="Calibri"/>
        </w:rPr>
        <w:t>Wir unterstützen die Vorlage, verlangen aber eine vollständige Umsetzung der Motionen 22.3838 Gugger und 22.4544 Pfister sowie eine rasche Inkraftsetzung spätestens per 1. Januar 2027.</w:t>
      </w:r>
    </w:p>
    <w:p w14:paraId="0E83AC13" w14:textId="3B1F468A" w:rsidR="008865D3" w:rsidRPr="008865D3" w:rsidRDefault="008865D3" w:rsidP="006F24C8">
      <w:pPr>
        <w:spacing w:after="120"/>
        <w:rPr>
          <w:rFonts w:ascii="Calibri" w:hAnsi="Calibri" w:cs="Calibri"/>
        </w:rPr>
      </w:pPr>
      <w:r w:rsidRPr="008865D3">
        <w:rPr>
          <w:rFonts w:ascii="Calibri" w:hAnsi="Calibri" w:cs="Calibri"/>
        </w:rPr>
        <w:t xml:space="preserve">Sollten die zusätzlichen Anpassungen an der KFZV nicht im Rahmen der vorliegenden Revision </w:t>
      </w:r>
      <w:proofErr w:type="spellStart"/>
      <w:r w:rsidRPr="008865D3">
        <w:rPr>
          <w:rFonts w:ascii="Calibri" w:hAnsi="Calibri" w:cs="Calibri"/>
        </w:rPr>
        <w:t>umge</w:t>
      </w:r>
      <w:proofErr w:type="spellEnd"/>
      <w:r>
        <w:rPr>
          <w:rFonts w:ascii="Calibri" w:hAnsi="Calibri" w:cs="Calibri"/>
        </w:rPr>
        <w:t>-</w:t>
      </w:r>
      <w:r w:rsidRPr="008865D3">
        <w:rPr>
          <w:rFonts w:ascii="Calibri" w:hAnsi="Calibri" w:cs="Calibri"/>
        </w:rPr>
        <w:t xml:space="preserve">setzt werden können, sind sie in einer unmittelbar anschliessenden zweiten Revisionsetappe zu </w:t>
      </w:r>
      <w:proofErr w:type="spellStart"/>
      <w:r w:rsidRPr="008865D3">
        <w:rPr>
          <w:rFonts w:ascii="Calibri" w:hAnsi="Calibri" w:cs="Calibri"/>
        </w:rPr>
        <w:t>verab</w:t>
      </w:r>
      <w:proofErr w:type="spellEnd"/>
      <w:r>
        <w:rPr>
          <w:rFonts w:ascii="Calibri" w:hAnsi="Calibri" w:cs="Calibri"/>
        </w:rPr>
        <w:t>-</w:t>
      </w:r>
      <w:r w:rsidRPr="008865D3">
        <w:rPr>
          <w:rFonts w:ascii="Calibri" w:hAnsi="Calibri" w:cs="Calibri"/>
        </w:rPr>
        <w:t>schieden. Die notwendigen Ergänzungen dürfen nicht zu einer Verzögerung der bereits entscheidungs</w:t>
      </w:r>
      <w:r>
        <w:rPr>
          <w:rFonts w:ascii="Calibri" w:hAnsi="Calibri" w:cs="Calibri"/>
        </w:rPr>
        <w:t>-</w:t>
      </w:r>
      <w:r w:rsidRPr="008865D3">
        <w:rPr>
          <w:rFonts w:ascii="Calibri" w:hAnsi="Calibri" w:cs="Calibri"/>
        </w:rPr>
        <w:t>reifen Teile der Vorlage führen.</w:t>
      </w:r>
    </w:p>
    <w:p w14:paraId="6C6D1929" w14:textId="77777777" w:rsidR="008865D3" w:rsidRPr="008865D3" w:rsidRDefault="008865D3" w:rsidP="006F24C8">
      <w:pPr>
        <w:spacing w:after="60"/>
        <w:rPr>
          <w:rFonts w:ascii="Calibri" w:hAnsi="Calibri" w:cs="Calibri"/>
          <w:b/>
          <w:bCs/>
          <w:color w:val="95DCF7" w:themeColor="accent4" w:themeTint="66"/>
        </w:rPr>
      </w:pPr>
      <w:r w:rsidRPr="008865D3">
        <w:rPr>
          <w:rFonts w:ascii="Calibri" w:hAnsi="Calibri" w:cs="Calibri"/>
          <w:b/>
          <w:bCs/>
          <w:color w:val="95DCF7" w:themeColor="accent4" w:themeTint="66"/>
        </w:rPr>
        <w:t>2. Allgemeine Würdigung</w:t>
      </w:r>
    </w:p>
    <w:p w14:paraId="306B25F1" w14:textId="39E1E5B7" w:rsidR="008865D3" w:rsidRPr="008865D3" w:rsidRDefault="008865D3" w:rsidP="006F24C8">
      <w:pPr>
        <w:spacing w:after="60"/>
        <w:rPr>
          <w:rFonts w:ascii="Calibri" w:hAnsi="Calibri" w:cs="Calibri"/>
        </w:rPr>
      </w:pPr>
      <w:r w:rsidRPr="008865D3">
        <w:rPr>
          <w:rFonts w:ascii="Calibri" w:hAnsi="Calibri" w:cs="Calibri"/>
        </w:rPr>
        <w:t xml:space="preserve">Die beiden parlamentarischen Motionen wurden vom Parlament mit deutlichen Mehrheiten </w:t>
      </w:r>
      <w:proofErr w:type="spellStart"/>
      <w:r w:rsidRPr="008865D3">
        <w:rPr>
          <w:rFonts w:ascii="Calibri" w:hAnsi="Calibri" w:cs="Calibri"/>
        </w:rPr>
        <w:t>überwie</w:t>
      </w:r>
      <w:proofErr w:type="spellEnd"/>
      <w:r>
        <w:rPr>
          <w:rFonts w:ascii="Calibri" w:hAnsi="Calibri" w:cs="Calibri"/>
        </w:rPr>
        <w:t>-</w:t>
      </w:r>
      <w:r w:rsidRPr="008865D3">
        <w:rPr>
          <w:rFonts w:ascii="Calibri" w:hAnsi="Calibri" w:cs="Calibri"/>
        </w:rPr>
        <w:t>sen. Der politische Auftrag ist deshalb klar: Die Wettbewerbsbedingungen im Fahrzeugvertrieb sollen verbessert und die Transparenz bei Leasingangeboten erhöht werden.</w:t>
      </w:r>
    </w:p>
    <w:p w14:paraId="199B65B2" w14:textId="77777777" w:rsidR="008865D3" w:rsidRPr="008865D3" w:rsidRDefault="008865D3" w:rsidP="008865D3">
      <w:pPr>
        <w:spacing w:after="60"/>
        <w:rPr>
          <w:rFonts w:ascii="Calibri" w:hAnsi="Calibri" w:cs="Calibri"/>
        </w:rPr>
      </w:pPr>
      <w:r w:rsidRPr="008865D3">
        <w:rPr>
          <w:rFonts w:ascii="Calibri" w:hAnsi="Calibri" w:cs="Calibri"/>
        </w:rPr>
        <w:t>Dies liegt auch im Interesse der Konsumentinnen und Konsumenten:</w:t>
      </w:r>
    </w:p>
    <w:p w14:paraId="79991AA7" w14:textId="77777777" w:rsidR="008865D3" w:rsidRPr="008865D3" w:rsidRDefault="008865D3" w:rsidP="008865D3">
      <w:pPr>
        <w:numPr>
          <w:ilvl w:val="0"/>
          <w:numId w:val="2"/>
        </w:numPr>
        <w:spacing w:after="60"/>
        <w:rPr>
          <w:rFonts w:ascii="Calibri" w:hAnsi="Calibri" w:cs="Calibri"/>
        </w:rPr>
      </w:pPr>
      <w:r w:rsidRPr="008865D3">
        <w:rPr>
          <w:rFonts w:ascii="Calibri" w:hAnsi="Calibri" w:cs="Calibri"/>
        </w:rPr>
        <w:t>Ein funktionierender Wettbewerb fördert faire Preise und eine grössere Auswahl.</w:t>
      </w:r>
    </w:p>
    <w:p w14:paraId="01A07354" w14:textId="77777777" w:rsidR="008865D3" w:rsidRPr="008865D3" w:rsidRDefault="008865D3" w:rsidP="008865D3">
      <w:pPr>
        <w:numPr>
          <w:ilvl w:val="0"/>
          <w:numId w:val="2"/>
        </w:numPr>
        <w:spacing w:after="60"/>
        <w:rPr>
          <w:rFonts w:ascii="Calibri" w:hAnsi="Calibri" w:cs="Calibri"/>
        </w:rPr>
      </w:pPr>
      <w:r w:rsidRPr="008865D3">
        <w:rPr>
          <w:rFonts w:ascii="Calibri" w:hAnsi="Calibri" w:cs="Calibri"/>
        </w:rPr>
        <w:t>Unabhängige Garagen und Werkstätten tragen zu einer flächendeckenden Versorgung bei.</w:t>
      </w:r>
    </w:p>
    <w:p w14:paraId="03751E55" w14:textId="77777777" w:rsidR="008865D3" w:rsidRPr="008865D3" w:rsidRDefault="008865D3" w:rsidP="008865D3">
      <w:pPr>
        <w:numPr>
          <w:ilvl w:val="0"/>
          <w:numId w:val="2"/>
        </w:numPr>
        <w:spacing w:after="60"/>
        <w:rPr>
          <w:rFonts w:ascii="Calibri" w:hAnsi="Calibri" w:cs="Calibri"/>
        </w:rPr>
      </w:pPr>
      <w:r w:rsidRPr="008865D3">
        <w:rPr>
          <w:rFonts w:ascii="Calibri" w:hAnsi="Calibri" w:cs="Calibri"/>
        </w:rPr>
        <w:t>Transparente Leasingangebote ermöglichen es Konsumentinnen und Konsumenten, verschiedene Offerten tatsächlich miteinander zu vergleichen.</w:t>
      </w:r>
    </w:p>
    <w:p w14:paraId="3F195AED" w14:textId="77777777" w:rsidR="008865D3" w:rsidRPr="008865D3" w:rsidRDefault="008865D3" w:rsidP="008865D3">
      <w:pPr>
        <w:numPr>
          <w:ilvl w:val="0"/>
          <w:numId w:val="2"/>
        </w:numPr>
        <w:spacing w:after="60"/>
        <w:rPr>
          <w:rFonts w:ascii="Calibri" w:hAnsi="Calibri" w:cs="Calibri"/>
        </w:rPr>
      </w:pPr>
      <w:r w:rsidRPr="008865D3">
        <w:rPr>
          <w:rFonts w:ascii="Calibri" w:hAnsi="Calibri" w:cs="Calibri"/>
        </w:rPr>
        <w:t>Klare Regeln reduzieren das Risiko, dass Preisvorteile oder Finanzierungsbeiträge nur scheinbar bestehen.</w:t>
      </w:r>
    </w:p>
    <w:p w14:paraId="4AC21657" w14:textId="77777777" w:rsidR="008865D3" w:rsidRPr="008865D3" w:rsidRDefault="008865D3" w:rsidP="008865D3">
      <w:pPr>
        <w:rPr>
          <w:rFonts w:ascii="Calibri" w:hAnsi="Calibri" w:cs="Calibri"/>
        </w:rPr>
      </w:pPr>
      <w:r w:rsidRPr="008865D3">
        <w:rPr>
          <w:rFonts w:ascii="Calibri" w:hAnsi="Calibri" w:cs="Calibri"/>
        </w:rPr>
        <w:t>Die Vorlage ist deshalb grundsätzlich zu begrüssen. Bei der KFZV geht sie jedoch noch nicht weit genug.</w:t>
      </w:r>
    </w:p>
    <w:p w14:paraId="12DFD2D6" w14:textId="77777777" w:rsidR="008865D3" w:rsidRPr="008865D3" w:rsidRDefault="008865D3" w:rsidP="006F24C8">
      <w:pPr>
        <w:spacing w:after="120"/>
        <w:rPr>
          <w:rFonts w:ascii="Calibri" w:hAnsi="Calibri" w:cs="Calibri"/>
          <w:b/>
          <w:bCs/>
          <w:color w:val="95DCF7" w:themeColor="accent4" w:themeTint="66"/>
        </w:rPr>
      </w:pPr>
      <w:r w:rsidRPr="008865D3">
        <w:rPr>
          <w:rFonts w:ascii="Calibri" w:hAnsi="Calibri" w:cs="Calibri"/>
          <w:b/>
          <w:bCs/>
          <w:color w:val="95DCF7" w:themeColor="accent4" w:themeTint="66"/>
        </w:rPr>
        <w:lastRenderedPageBreak/>
        <w:t>3. Kraftfahrzeugverordnung</w:t>
      </w:r>
    </w:p>
    <w:p w14:paraId="2FA81D4E" w14:textId="77777777" w:rsidR="008865D3" w:rsidRPr="008865D3" w:rsidRDefault="008865D3" w:rsidP="006F24C8">
      <w:pPr>
        <w:spacing w:after="120"/>
        <w:rPr>
          <w:rFonts w:ascii="Calibri" w:hAnsi="Calibri" w:cs="Calibri"/>
          <w:b/>
          <w:bCs/>
        </w:rPr>
      </w:pPr>
      <w:r w:rsidRPr="008865D3">
        <w:rPr>
          <w:rFonts w:ascii="Calibri" w:hAnsi="Calibri" w:cs="Calibri"/>
          <w:b/>
          <w:bCs/>
        </w:rPr>
        <w:t>3.1 Kündigungsschutz bei Agenturverträgen</w:t>
      </w:r>
    </w:p>
    <w:p w14:paraId="5F7910B3" w14:textId="4C773B9F" w:rsidR="008865D3" w:rsidRPr="008865D3" w:rsidRDefault="008865D3" w:rsidP="006F24C8">
      <w:pPr>
        <w:spacing w:after="60"/>
        <w:rPr>
          <w:rFonts w:ascii="Calibri" w:hAnsi="Calibri" w:cs="Calibri"/>
        </w:rPr>
      </w:pPr>
      <w:r w:rsidRPr="008865D3">
        <w:rPr>
          <w:rFonts w:ascii="Calibri" w:hAnsi="Calibri" w:cs="Calibri"/>
        </w:rPr>
        <w:t>Wir begrüssen die vorgeschlagene Ergänzung von Art. 8 Abs. 2 E-KFZV. Damit wird klargestellt, dass die Kündigungsmodalitäten von Art. 8 KFZV – insbesondere die zweijährige Kündigungsfrist bei unbefristeten Verträgen – auch für Agenturverträge gelten.</w:t>
      </w:r>
    </w:p>
    <w:p w14:paraId="42829B4A" w14:textId="6B5C3C03" w:rsidR="008865D3" w:rsidRPr="008865D3" w:rsidRDefault="008865D3" w:rsidP="006F24C8">
      <w:pPr>
        <w:spacing w:after="60"/>
        <w:rPr>
          <w:rFonts w:ascii="Calibri" w:hAnsi="Calibri" w:cs="Calibri"/>
        </w:rPr>
      </w:pPr>
      <w:r w:rsidRPr="008865D3">
        <w:rPr>
          <w:rFonts w:ascii="Calibri" w:hAnsi="Calibri" w:cs="Calibri"/>
        </w:rPr>
        <w:t>Diese Klarstellung schafft Rechtssicherheit und verhindert, dass unabhängige Betriebe allein wegen der gewählten Vertriebsform deutlich kürzeren Kündigungsfristen unterliegen. Für Garagen, Werkstätten und Händler ist eine angemessene Übergangsfrist von grosser Bedeutung, da Investitionen, Personalplanung, Ausbildungsplätze und Kundenbeziehungen langfristig ausgerichtet sind.</w:t>
      </w:r>
    </w:p>
    <w:p w14:paraId="278C2DD1" w14:textId="4A2FF168" w:rsidR="008865D3" w:rsidRPr="008865D3" w:rsidRDefault="008865D3" w:rsidP="008865D3">
      <w:pPr>
        <w:rPr>
          <w:rFonts w:ascii="Calibri" w:hAnsi="Calibri" w:cs="Calibri"/>
        </w:rPr>
      </w:pPr>
      <w:r w:rsidRPr="008865D3">
        <w:rPr>
          <w:rFonts w:ascii="Calibri" w:hAnsi="Calibri" w:cs="Calibri"/>
        </w:rPr>
        <w:t>Aus Konsumentensicht ist ein solcher Schutz relevant. Ein dichtes Netz unabhängiger Betriebe gewährleistet kurze Wege, Auswahlmöglichkeiten und einen wohnortnahen Zugang zu Wartung, Reparatur und Service.</w:t>
      </w:r>
    </w:p>
    <w:p w14:paraId="47C66CCA" w14:textId="77777777" w:rsidR="008865D3" w:rsidRPr="008865D3" w:rsidRDefault="008865D3" w:rsidP="008865D3">
      <w:pPr>
        <w:rPr>
          <w:rFonts w:ascii="Calibri" w:hAnsi="Calibri" w:cs="Calibri"/>
          <w:b/>
          <w:bCs/>
        </w:rPr>
      </w:pPr>
      <w:r w:rsidRPr="008865D3">
        <w:rPr>
          <w:rFonts w:ascii="Calibri" w:hAnsi="Calibri" w:cs="Calibri"/>
          <w:b/>
          <w:bCs/>
        </w:rPr>
        <w:t>3.2 Schutz darf nicht auf die Kündigungsfrist beschränkt bleiben</w:t>
      </w:r>
    </w:p>
    <w:p w14:paraId="22484E43" w14:textId="77777777" w:rsidR="008865D3" w:rsidRPr="008865D3" w:rsidRDefault="008865D3" w:rsidP="008865D3">
      <w:pPr>
        <w:spacing w:after="120"/>
        <w:rPr>
          <w:rFonts w:ascii="Calibri" w:hAnsi="Calibri" w:cs="Calibri"/>
        </w:rPr>
      </w:pPr>
      <w:r w:rsidRPr="008865D3">
        <w:rPr>
          <w:rFonts w:ascii="Calibri" w:hAnsi="Calibri" w:cs="Calibri"/>
        </w:rPr>
        <w:t>Die blosse Verlängerung der Kündigungsfrist reicht jedoch nicht aus. Entscheidend ist nicht nur, wie lange ein Vertrag weiterbesteht, sondern auch, welche unternehmerischen Rechte dem Betrieb während dieser Zeit verbleiben.</w:t>
      </w:r>
    </w:p>
    <w:p w14:paraId="4AEF21C0" w14:textId="77777777" w:rsidR="008865D3" w:rsidRPr="008865D3" w:rsidRDefault="008865D3" w:rsidP="008865D3">
      <w:pPr>
        <w:rPr>
          <w:rFonts w:ascii="Calibri" w:hAnsi="Calibri" w:cs="Calibri"/>
        </w:rPr>
      </w:pPr>
      <w:r w:rsidRPr="008865D3">
        <w:rPr>
          <w:rFonts w:ascii="Calibri" w:hAnsi="Calibri" w:cs="Calibri"/>
        </w:rPr>
        <w:t>Beim Wechsel vom Händler- zum Agenturmodell können insbesondere der Preiswettbewerb, die Möglichkeit von Parallelimporten und der Mehrmarkenvertrieb eingeschränkt werden. Wenn der Hersteller die Geschäftsstrategie und die Verkaufspreise weitgehend vorgibt, kann dies den Wettbewerb innerhalb derselben Marke beeinträchtigen.</w:t>
      </w:r>
    </w:p>
    <w:p w14:paraId="52EEB28B" w14:textId="77777777" w:rsidR="008865D3" w:rsidRPr="008865D3" w:rsidRDefault="008865D3" w:rsidP="008865D3">
      <w:pPr>
        <w:spacing w:after="60"/>
        <w:rPr>
          <w:rFonts w:ascii="Calibri" w:hAnsi="Calibri" w:cs="Calibri"/>
        </w:rPr>
      </w:pPr>
      <w:r w:rsidRPr="008865D3">
        <w:rPr>
          <w:rFonts w:ascii="Calibri" w:hAnsi="Calibri" w:cs="Calibri"/>
        </w:rPr>
        <w:t xml:space="preserve">Davon </w:t>
      </w:r>
      <w:proofErr w:type="gramStart"/>
      <w:r w:rsidRPr="008865D3">
        <w:rPr>
          <w:rFonts w:ascii="Calibri" w:hAnsi="Calibri" w:cs="Calibri"/>
        </w:rPr>
        <w:t>sind letztlich</w:t>
      </w:r>
      <w:proofErr w:type="gramEnd"/>
      <w:r w:rsidRPr="008865D3">
        <w:rPr>
          <w:rFonts w:ascii="Calibri" w:hAnsi="Calibri" w:cs="Calibri"/>
        </w:rPr>
        <w:t xml:space="preserve"> auch Konsumentinnen und Konsumenten betroffen. Weniger Wettbewerb kann zu:</w:t>
      </w:r>
    </w:p>
    <w:p w14:paraId="2A4458A3" w14:textId="77777777" w:rsidR="008865D3" w:rsidRPr="008865D3" w:rsidRDefault="008865D3" w:rsidP="008865D3">
      <w:pPr>
        <w:numPr>
          <w:ilvl w:val="0"/>
          <w:numId w:val="3"/>
        </w:numPr>
        <w:spacing w:after="60"/>
        <w:rPr>
          <w:rFonts w:ascii="Calibri" w:hAnsi="Calibri" w:cs="Calibri"/>
        </w:rPr>
      </w:pPr>
      <w:r w:rsidRPr="008865D3">
        <w:rPr>
          <w:rFonts w:ascii="Calibri" w:hAnsi="Calibri" w:cs="Calibri"/>
        </w:rPr>
        <w:t>höheren Preisen,</w:t>
      </w:r>
    </w:p>
    <w:p w14:paraId="1B092C66" w14:textId="77777777" w:rsidR="008865D3" w:rsidRPr="008865D3" w:rsidRDefault="008865D3" w:rsidP="00366DDB">
      <w:pPr>
        <w:numPr>
          <w:ilvl w:val="0"/>
          <w:numId w:val="3"/>
        </w:numPr>
        <w:spacing w:after="60"/>
        <w:ind w:left="714" w:hanging="357"/>
        <w:rPr>
          <w:rFonts w:ascii="Calibri" w:hAnsi="Calibri" w:cs="Calibri"/>
        </w:rPr>
      </w:pPr>
      <w:r w:rsidRPr="008865D3">
        <w:rPr>
          <w:rFonts w:ascii="Calibri" w:hAnsi="Calibri" w:cs="Calibri"/>
        </w:rPr>
        <w:t>geringerer Auswahl,</w:t>
      </w:r>
    </w:p>
    <w:p w14:paraId="49F90DF6" w14:textId="77777777" w:rsidR="008865D3" w:rsidRPr="008865D3" w:rsidRDefault="008865D3" w:rsidP="008865D3">
      <w:pPr>
        <w:numPr>
          <w:ilvl w:val="0"/>
          <w:numId w:val="3"/>
        </w:numPr>
        <w:spacing w:after="60"/>
        <w:rPr>
          <w:rFonts w:ascii="Calibri" w:hAnsi="Calibri" w:cs="Calibri"/>
        </w:rPr>
      </w:pPr>
      <w:r w:rsidRPr="008865D3">
        <w:rPr>
          <w:rFonts w:ascii="Calibri" w:hAnsi="Calibri" w:cs="Calibri"/>
        </w:rPr>
        <w:t>weniger unabhängiger Beratung,</w:t>
      </w:r>
    </w:p>
    <w:p w14:paraId="72996617" w14:textId="77777777" w:rsidR="008865D3" w:rsidRPr="008865D3" w:rsidRDefault="008865D3" w:rsidP="008865D3">
      <w:pPr>
        <w:numPr>
          <w:ilvl w:val="0"/>
          <w:numId w:val="3"/>
        </w:numPr>
        <w:spacing w:after="60"/>
        <w:rPr>
          <w:rFonts w:ascii="Calibri" w:hAnsi="Calibri" w:cs="Calibri"/>
        </w:rPr>
      </w:pPr>
      <w:r w:rsidRPr="008865D3">
        <w:rPr>
          <w:rFonts w:ascii="Calibri" w:hAnsi="Calibri" w:cs="Calibri"/>
        </w:rPr>
        <w:t>einer stärkeren Abhängigkeit von einzelnen Hersteller- oder Händlerstrukturen und</w:t>
      </w:r>
    </w:p>
    <w:p w14:paraId="01EE6464" w14:textId="77777777" w:rsidR="008865D3" w:rsidRPr="008865D3" w:rsidRDefault="008865D3" w:rsidP="008865D3">
      <w:pPr>
        <w:numPr>
          <w:ilvl w:val="0"/>
          <w:numId w:val="3"/>
        </w:numPr>
        <w:spacing w:after="60"/>
        <w:rPr>
          <w:rFonts w:ascii="Calibri" w:hAnsi="Calibri" w:cs="Calibri"/>
        </w:rPr>
      </w:pPr>
      <w:r w:rsidRPr="008865D3">
        <w:rPr>
          <w:rFonts w:ascii="Calibri" w:hAnsi="Calibri" w:cs="Calibri"/>
        </w:rPr>
        <w:t>einer schlechteren Versorgung in Regionen mit wenigen Anbietern</w:t>
      </w:r>
    </w:p>
    <w:p w14:paraId="318DF053" w14:textId="77777777" w:rsidR="008865D3" w:rsidRPr="008865D3" w:rsidRDefault="008865D3" w:rsidP="009A50F3">
      <w:pPr>
        <w:spacing w:after="120"/>
        <w:rPr>
          <w:rFonts w:ascii="Calibri" w:hAnsi="Calibri" w:cs="Calibri"/>
        </w:rPr>
      </w:pPr>
      <w:r w:rsidRPr="008865D3">
        <w:rPr>
          <w:rFonts w:ascii="Calibri" w:hAnsi="Calibri" w:cs="Calibri"/>
        </w:rPr>
        <w:t>führen.</w:t>
      </w:r>
    </w:p>
    <w:p w14:paraId="2D496923" w14:textId="4CA35E66" w:rsidR="008865D3" w:rsidRPr="008865D3" w:rsidRDefault="008865D3" w:rsidP="009A50F3">
      <w:pPr>
        <w:spacing w:after="120"/>
        <w:rPr>
          <w:rFonts w:ascii="Calibri" w:hAnsi="Calibri" w:cs="Calibri"/>
        </w:rPr>
      </w:pPr>
      <w:r w:rsidRPr="008865D3">
        <w:rPr>
          <w:rFonts w:ascii="Calibri" w:hAnsi="Calibri" w:cs="Calibri"/>
        </w:rPr>
        <w:t xml:space="preserve">Wir beantragen deshalb, den Schutzrahmen der KFZV nicht nur punktuell auf Agenturverträge </w:t>
      </w:r>
      <w:proofErr w:type="spellStart"/>
      <w:r w:rsidRPr="008865D3">
        <w:rPr>
          <w:rFonts w:ascii="Calibri" w:hAnsi="Calibri" w:cs="Calibri"/>
        </w:rPr>
        <w:t>auszu</w:t>
      </w:r>
      <w:proofErr w:type="spellEnd"/>
      <w:r w:rsidR="009A50F3">
        <w:rPr>
          <w:rFonts w:ascii="Calibri" w:hAnsi="Calibri" w:cs="Calibri"/>
        </w:rPr>
        <w:t>-</w:t>
      </w:r>
      <w:r w:rsidRPr="008865D3">
        <w:rPr>
          <w:rFonts w:ascii="Calibri" w:hAnsi="Calibri" w:cs="Calibri"/>
        </w:rPr>
        <w:t xml:space="preserve">dehnen. Die sachlich einschlägigen Schutzbestimmungen sollen unabhängig davon gelten, ob ein Hersteller </w:t>
      </w:r>
      <w:proofErr w:type="gramStart"/>
      <w:r w:rsidRPr="008865D3">
        <w:rPr>
          <w:rFonts w:ascii="Calibri" w:hAnsi="Calibri" w:cs="Calibri"/>
        </w:rPr>
        <w:t>sein Vertriebsmodell</w:t>
      </w:r>
      <w:proofErr w:type="gramEnd"/>
      <w:r w:rsidRPr="008865D3">
        <w:rPr>
          <w:rFonts w:ascii="Calibri" w:hAnsi="Calibri" w:cs="Calibri"/>
        </w:rPr>
        <w:t xml:space="preserve"> als Händler- oder als Agenturmodell ausgestaltet.</w:t>
      </w:r>
    </w:p>
    <w:p w14:paraId="74532B0B" w14:textId="77777777" w:rsidR="008865D3" w:rsidRPr="008865D3" w:rsidRDefault="008865D3" w:rsidP="00366DDB">
      <w:pPr>
        <w:spacing w:after="60"/>
        <w:rPr>
          <w:rFonts w:ascii="Calibri" w:hAnsi="Calibri" w:cs="Calibri"/>
          <w:b/>
          <w:bCs/>
        </w:rPr>
      </w:pPr>
      <w:r w:rsidRPr="008865D3">
        <w:rPr>
          <w:rFonts w:ascii="Calibri" w:hAnsi="Calibri" w:cs="Calibri"/>
          <w:b/>
          <w:bCs/>
        </w:rPr>
        <w:t>3.3 Effizienznachweis bei flächendeckender Netzumstellung</w:t>
      </w:r>
    </w:p>
    <w:p w14:paraId="6CA38C72" w14:textId="4EC6E92F" w:rsidR="008865D3" w:rsidRPr="008865D3" w:rsidRDefault="008865D3" w:rsidP="00366DDB">
      <w:pPr>
        <w:spacing w:after="60"/>
        <w:rPr>
          <w:rFonts w:ascii="Calibri" w:hAnsi="Calibri" w:cs="Calibri"/>
        </w:rPr>
      </w:pPr>
      <w:r w:rsidRPr="008865D3">
        <w:rPr>
          <w:rFonts w:ascii="Calibri" w:hAnsi="Calibri" w:cs="Calibri"/>
        </w:rPr>
        <w:t>Die Motion Gugger verlangt zudem, dass die flächendeckende Ablösung eines bestehenden Händler- und Werkstattnetzes nur zulässig ist, wenn der Hersteller nachweist, dass das neue Vertriebsmodell signifikant effizienter ist.</w:t>
      </w:r>
      <w:r w:rsidR="00A2531E">
        <w:rPr>
          <w:rFonts w:ascii="Calibri" w:hAnsi="Calibri" w:cs="Calibri"/>
        </w:rPr>
        <w:t xml:space="preserve"> </w:t>
      </w:r>
      <w:r w:rsidRPr="008865D3">
        <w:rPr>
          <w:rFonts w:ascii="Calibri" w:hAnsi="Calibri" w:cs="Calibri"/>
        </w:rPr>
        <w:t>Diese Forderung wurde im erläuternden Bericht zwar wiedergegeben, im Verordnungsentwurf jedoch nicht umgesetzt. Diese Lücke ist zu schliessen.</w:t>
      </w:r>
    </w:p>
    <w:p w14:paraId="594FDD29" w14:textId="77777777" w:rsidR="008865D3" w:rsidRPr="008865D3" w:rsidRDefault="008865D3" w:rsidP="00366DDB">
      <w:pPr>
        <w:spacing w:after="60"/>
        <w:rPr>
          <w:rFonts w:ascii="Calibri" w:hAnsi="Calibri" w:cs="Calibri"/>
        </w:rPr>
      </w:pPr>
      <w:r w:rsidRPr="008865D3">
        <w:rPr>
          <w:rFonts w:ascii="Calibri" w:hAnsi="Calibri" w:cs="Calibri"/>
        </w:rPr>
        <w:t>Ein über Jahre gewachsenes Netz selbständiger Garagen, Werkstätten und Händler erfüllt wichtige Funktionen. Es bietet Konsumentinnen und Konsumenten insbesondere:</w:t>
      </w:r>
    </w:p>
    <w:p w14:paraId="67E44F86" w14:textId="77777777" w:rsidR="008865D3" w:rsidRPr="008865D3" w:rsidRDefault="008865D3" w:rsidP="00366DDB">
      <w:pPr>
        <w:numPr>
          <w:ilvl w:val="0"/>
          <w:numId w:val="4"/>
        </w:numPr>
        <w:spacing w:after="60"/>
        <w:ind w:left="714" w:hanging="357"/>
        <w:rPr>
          <w:rFonts w:ascii="Calibri" w:hAnsi="Calibri" w:cs="Calibri"/>
        </w:rPr>
      </w:pPr>
      <w:r w:rsidRPr="008865D3">
        <w:rPr>
          <w:rFonts w:ascii="Calibri" w:hAnsi="Calibri" w:cs="Calibri"/>
        </w:rPr>
        <w:t>regionale Erreichbarkeit,</w:t>
      </w:r>
    </w:p>
    <w:p w14:paraId="3CCBBB85" w14:textId="77777777" w:rsidR="008865D3" w:rsidRPr="008865D3" w:rsidRDefault="008865D3" w:rsidP="00366DDB">
      <w:pPr>
        <w:numPr>
          <w:ilvl w:val="0"/>
          <w:numId w:val="4"/>
        </w:numPr>
        <w:spacing w:after="60"/>
        <w:ind w:left="714" w:hanging="357"/>
        <w:rPr>
          <w:rFonts w:ascii="Calibri" w:hAnsi="Calibri" w:cs="Calibri"/>
        </w:rPr>
      </w:pPr>
      <w:r w:rsidRPr="008865D3">
        <w:rPr>
          <w:rFonts w:ascii="Calibri" w:hAnsi="Calibri" w:cs="Calibri"/>
        </w:rPr>
        <w:t>persönliche Beratung,</w:t>
      </w:r>
    </w:p>
    <w:p w14:paraId="6EE5B01C" w14:textId="77777777" w:rsidR="008865D3" w:rsidRPr="008865D3" w:rsidRDefault="008865D3" w:rsidP="00366DDB">
      <w:pPr>
        <w:numPr>
          <w:ilvl w:val="0"/>
          <w:numId w:val="4"/>
        </w:numPr>
        <w:spacing w:after="60"/>
        <w:ind w:left="714" w:hanging="357"/>
        <w:rPr>
          <w:rFonts w:ascii="Calibri" w:hAnsi="Calibri" w:cs="Calibri"/>
        </w:rPr>
      </w:pPr>
      <w:r w:rsidRPr="008865D3">
        <w:rPr>
          <w:rFonts w:ascii="Calibri" w:hAnsi="Calibri" w:cs="Calibri"/>
        </w:rPr>
        <w:t>Wettbewerb zwischen verschiedenen Anbietern,</w:t>
      </w:r>
    </w:p>
    <w:p w14:paraId="7CA2175B" w14:textId="77777777" w:rsidR="008865D3" w:rsidRPr="008865D3" w:rsidRDefault="008865D3" w:rsidP="00366DDB">
      <w:pPr>
        <w:numPr>
          <w:ilvl w:val="0"/>
          <w:numId w:val="4"/>
        </w:numPr>
        <w:spacing w:after="60"/>
        <w:ind w:left="714" w:hanging="357"/>
        <w:rPr>
          <w:rFonts w:ascii="Calibri" w:hAnsi="Calibri" w:cs="Calibri"/>
        </w:rPr>
      </w:pPr>
      <w:r w:rsidRPr="008865D3">
        <w:rPr>
          <w:rFonts w:ascii="Calibri" w:hAnsi="Calibri" w:cs="Calibri"/>
        </w:rPr>
        <w:t>Service auch ausserhalb grosser Zentren und</w:t>
      </w:r>
    </w:p>
    <w:p w14:paraId="7167018E" w14:textId="77777777" w:rsidR="008865D3" w:rsidRPr="008865D3" w:rsidRDefault="008865D3" w:rsidP="00366DDB">
      <w:pPr>
        <w:numPr>
          <w:ilvl w:val="0"/>
          <w:numId w:val="4"/>
        </w:numPr>
        <w:spacing w:after="60"/>
        <w:ind w:left="714" w:hanging="357"/>
        <w:rPr>
          <w:rFonts w:ascii="Calibri" w:hAnsi="Calibri" w:cs="Calibri"/>
        </w:rPr>
      </w:pPr>
      <w:r w:rsidRPr="008865D3">
        <w:rPr>
          <w:rFonts w:ascii="Calibri" w:hAnsi="Calibri" w:cs="Calibri"/>
        </w:rPr>
        <w:t>Kontinuität bei Wartung und Reparatur.</w:t>
      </w:r>
    </w:p>
    <w:p w14:paraId="17B39C66" w14:textId="3FABC51E" w:rsidR="008865D3" w:rsidRPr="008865D3" w:rsidRDefault="008865D3" w:rsidP="00366DDB">
      <w:pPr>
        <w:spacing w:after="60"/>
        <w:rPr>
          <w:rFonts w:ascii="Calibri" w:hAnsi="Calibri" w:cs="Calibri"/>
        </w:rPr>
      </w:pPr>
      <w:r w:rsidRPr="008865D3">
        <w:rPr>
          <w:rFonts w:ascii="Calibri" w:hAnsi="Calibri" w:cs="Calibri"/>
        </w:rPr>
        <w:lastRenderedPageBreak/>
        <w:t xml:space="preserve">Wird ein solches Netz flächendeckend umgebaut oder aufgelöst, kann dies die Wahlmöglichkeiten der </w:t>
      </w:r>
      <w:proofErr w:type="spellStart"/>
      <w:r w:rsidRPr="008865D3">
        <w:rPr>
          <w:rFonts w:ascii="Calibri" w:hAnsi="Calibri" w:cs="Calibri"/>
        </w:rPr>
        <w:t>Konsu</w:t>
      </w:r>
      <w:r w:rsidR="00A2531E">
        <w:rPr>
          <w:rFonts w:ascii="Calibri" w:hAnsi="Calibri" w:cs="Calibri"/>
        </w:rPr>
        <w:t>-</w:t>
      </w:r>
      <w:r w:rsidRPr="008865D3">
        <w:rPr>
          <w:rFonts w:ascii="Calibri" w:hAnsi="Calibri" w:cs="Calibri"/>
        </w:rPr>
        <w:t>menten</w:t>
      </w:r>
      <w:proofErr w:type="spellEnd"/>
      <w:r w:rsidRPr="008865D3">
        <w:rPr>
          <w:rFonts w:ascii="Calibri" w:hAnsi="Calibri" w:cs="Calibri"/>
        </w:rPr>
        <w:t xml:space="preserve"> erheblich einschränken. Ein solcher Eingriff sollte deshalb nicht allein mit allgemeinen strategischen Überlegungen begründet werden können. Der Hersteller muss vielmehr konkret und nachvollziehbar </w:t>
      </w:r>
      <w:proofErr w:type="spellStart"/>
      <w:r w:rsidRPr="008865D3">
        <w:rPr>
          <w:rFonts w:ascii="Calibri" w:hAnsi="Calibri" w:cs="Calibri"/>
        </w:rPr>
        <w:t>dar</w:t>
      </w:r>
      <w:r w:rsidR="00A2531E">
        <w:rPr>
          <w:rFonts w:ascii="Calibri" w:hAnsi="Calibri" w:cs="Calibri"/>
        </w:rPr>
        <w:t>le</w:t>
      </w:r>
      <w:proofErr w:type="spellEnd"/>
      <w:r w:rsidR="00A2531E">
        <w:rPr>
          <w:rFonts w:ascii="Calibri" w:hAnsi="Calibri" w:cs="Calibri"/>
        </w:rPr>
        <w:t>-</w:t>
      </w:r>
      <w:r w:rsidRPr="008865D3">
        <w:rPr>
          <w:rFonts w:ascii="Calibri" w:hAnsi="Calibri" w:cs="Calibri"/>
        </w:rPr>
        <w:t>gen, dass das neue Modell einen wesentlichen Effizienzgewinn bringt.</w:t>
      </w:r>
    </w:p>
    <w:p w14:paraId="6083B99D" w14:textId="77777777" w:rsidR="008865D3" w:rsidRPr="008865D3" w:rsidRDefault="008865D3" w:rsidP="00366DDB">
      <w:pPr>
        <w:spacing w:after="120"/>
        <w:rPr>
          <w:rFonts w:ascii="Calibri" w:hAnsi="Calibri" w:cs="Calibri"/>
        </w:rPr>
      </w:pPr>
      <w:r w:rsidRPr="008865D3">
        <w:rPr>
          <w:rFonts w:ascii="Calibri" w:hAnsi="Calibri" w:cs="Calibri"/>
        </w:rPr>
        <w:t>Der Effizienznachweis bedeutet keinen Kontrahierungszwang. Er verpflichtet Hersteller weder dazu, mit einer bestimmten Garage zusammenzuarbeiten, noch schreibt er ein bestimmtes Geschäftsmodell vor. Er verlangt lediglich eine nachvollziehbare Begründung, wenn ein bestehendes Netz selbständiger KMU flächendeckend ersetzt werden soll.</w:t>
      </w:r>
    </w:p>
    <w:p w14:paraId="38749D98" w14:textId="77777777" w:rsidR="008865D3" w:rsidRPr="008865D3" w:rsidRDefault="008865D3" w:rsidP="00366DDB">
      <w:pPr>
        <w:spacing w:after="60"/>
        <w:rPr>
          <w:rFonts w:ascii="Calibri" w:hAnsi="Calibri" w:cs="Calibri"/>
          <w:b/>
          <w:bCs/>
        </w:rPr>
      </w:pPr>
      <w:r w:rsidRPr="008865D3">
        <w:rPr>
          <w:rFonts w:ascii="Calibri" w:hAnsi="Calibri" w:cs="Calibri"/>
          <w:b/>
          <w:bCs/>
        </w:rPr>
        <w:t>3.4 Eventualantrag und Inkraftsetzung</w:t>
      </w:r>
    </w:p>
    <w:p w14:paraId="6CCE96B9" w14:textId="77777777" w:rsidR="008865D3" w:rsidRPr="008865D3" w:rsidRDefault="008865D3" w:rsidP="00366DDB">
      <w:pPr>
        <w:spacing w:after="60"/>
        <w:rPr>
          <w:rFonts w:ascii="Calibri" w:hAnsi="Calibri" w:cs="Calibri"/>
        </w:rPr>
      </w:pPr>
      <w:r w:rsidRPr="008865D3">
        <w:rPr>
          <w:rFonts w:ascii="Calibri" w:hAnsi="Calibri" w:cs="Calibri"/>
        </w:rPr>
        <w:t>Wir beantragen, die beiden Ergänzungen zur KFZV möglichst im Rahmen der vorliegenden Revision umzusetzen.</w:t>
      </w:r>
    </w:p>
    <w:p w14:paraId="4C79347D" w14:textId="77777777" w:rsidR="008865D3" w:rsidRPr="008865D3" w:rsidRDefault="008865D3" w:rsidP="00A2531E">
      <w:pPr>
        <w:spacing w:after="60"/>
        <w:rPr>
          <w:rFonts w:ascii="Calibri" w:hAnsi="Calibri" w:cs="Calibri"/>
        </w:rPr>
      </w:pPr>
      <w:r w:rsidRPr="008865D3">
        <w:rPr>
          <w:rFonts w:ascii="Calibri" w:hAnsi="Calibri" w:cs="Calibri"/>
        </w:rPr>
        <w:t>Sollte dies aus verfahrensrechtlichen oder zeitlichen Gründen nicht möglich sein, ist sicherzustellen, dass:</w:t>
      </w:r>
    </w:p>
    <w:p w14:paraId="60DF6DDC" w14:textId="77777777" w:rsidR="008865D3" w:rsidRPr="008865D3" w:rsidRDefault="008865D3" w:rsidP="00A2531E">
      <w:pPr>
        <w:numPr>
          <w:ilvl w:val="0"/>
          <w:numId w:val="5"/>
        </w:numPr>
        <w:spacing w:after="60"/>
        <w:rPr>
          <w:rFonts w:ascii="Calibri" w:hAnsi="Calibri" w:cs="Calibri"/>
        </w:rPr>
      </w:pPr>
      <w:r w:rsidRPr="008865D3">
        <w:rPr>
          <w:rFonts w:ascii="Calibri" w:hAnsi="Calibri" w:cs="Calibri"/>
        </w:rPr>
        <w:t>die bereits vorgeschlagenen Bestimmungen ohne Verzögerung in Kraft treten;</w:t>
      </w:r>
    </w:p>
    <w:p w14:paraId="76867194" w14:textId="77777777" w:rsidR="008865D3" w:rsidRPr="008865D3" w:rsidRDefault="008865D3" w:rsidP="00A2531E">
      <w:pPr>
        <w:numPr>
          <w:ilvl w:val="0"/>
          <w:numId w:val="5"/>
        </w:numPr>
        <w:spacing w:after="60"/>
        <w:rPr>
          <w:rFonts w:ascii="Calibri" w:hAnsi="Calibri" w:cs="Calibri"/>
        </w:rPr>
      </w:pPr>
      <w:r w:rsidRPr="008865D3">
        <w:rPr>
          <w:rFonts w:ascii="Calibri" w:hAnsi="Calibri" w:cs="Calibri"/>
        </w:rPr>
        <w:t>die Ergänzungen zur KFZV in einer unmittelbar anschliessenden zweiten Revisionsetappe behandelt werden; und</w:t>
      </w:r>
    </w:p>
    <w:p w14:paraId="1EC020BF" w14:textId="77777777" w:rsidR="008865D3" w:rsidRPr="008865D3" w:rsidRDefault="008865D3" w:rsidP="00A2531E">
      <w:pPr>
        <w:numPr>
          <w:ilvl w:val="0"/>
          <w:numId w:val="5"/>
        </w:numPr>
        <w:spacing w:after="60"/>
        <w:ind w:left="714" w:hanging="357"/>
        <w:rPr>
          <w:rFonts w:ascii="Calibri" w:hAnsi="Calibri" w:cs="Calibri"/>
        </w:rPr>
      </w:pPr>
      <w:r w:rsidRPr="008865D3">
        <w:rPr>
          <w:rFonts w:ascii="Calibri" w:hAnsi="Calibri" w:cs="Calibri"/>
        </w:rPr>
        <w:t>die vollständige Vorlage spätestens per 1. Januar 2027 wirksam wird.</w:t>
      </w:r>
    </w:p>
    <w:p w14:paraId="4BB4FB1B" w14:textId="77777777" w:rsidR="008865D3" w:rsidRPr="008865D3" w:rsidRDefault="008865D3" w:rsidP="00366DDB">
      <w:pPr>
        <w:spacing w:after="120"/>
        <w:rPr>
          <w:rFonts w:ascii="Calibri" w:hAnsi="Calibri" w:cs="Calibri"/>
        </w:rPr>
      </w:pPr>
      <w:r w:rsidRPr="008865D3">
        <w:rPr>
          <w:rFonts w:ascii="Calibri" w:hAnsi="Calibri" w:cs="Calibri"/>
        </w:rPr>
        <w:t>Eine schrittweise Umsetzung darf nicht dazu führen, dass der politische Auftrag dauerhaft nur teilweise erfüllt wird.</w:t>
      </w:r>
    </w:p>
    <w:p w14:paraId="79120BBA" w14:textId="77777777" w:rsidR="008865D3" w:rsidRPr="009A50F3" w:rsidRDefault="008865D3" w:rsidP="00A2531E">
      <w:pPr>
        <w:spacing w:after="120"/>
        <w:rPr>
          <w:rFonts w:ascii="Calibri" w:hAnsi="Calibri" w:cs="Calibri"/>
          <w:b/>
          <w:bCs/>
          <w:color w:val="95DCF7" w:themeColor="accent4" w:themeTint="66"/>
        </w:rPr>
      </w:pPr>
      <w:r w:rsidRPr="009A50F3">
        <w:rPr>
          <w:rFonts w:ascii="Calibri" w:hAnsi="Calibri" w:cs="Calibri"/>
          <w:b/>
          <w:bCs/>
          <w:color w:val="95DCF7" w:themeColor="accent4" w:themeTint="66"/>
        </w:rPr>
        <w:t xml:space="preserve">4. </w:t>
      </w:r>
      <w:proofErr w:type="spellStart"/>
      <w:r w:rsidRPr="009A50F3">
        <w:rPr>
          <w:rFonts w:ascii="Calibri" w:hAnsi="Calibri" w:cs="Calibri"/>
          <w:b/>
          <w:bCs/>
          <w:color w:val="95DCF7" w:themeColor="accent4" w:themeTint="66"/>
        </w:rPr>
        <w:t>Preisbekanntgabeverordnung</w:t>
      </w:r>
      <w:proofErr w:type="spellEnd"/>
    </w:p>
    <w:p w14:paraId="4458E55E" w14:textId="77777777" w:rsidR="008865D3" w:rsidRPr="008865D3" w:rsidRDefault="008865D3" w:rsidP="00A2531E">
      <w:pPr>
        <w:spacing w:after="60"/>
        <w:rPr>
          <w:rFonts w:ascii="Calibri" w:hAnsi="Calibri" w:cs="Calibri"/>
          <w:b/>
          <w:bCs/>
        </w:rPr>
      </w:pPr>
      <w:r w:rsidRPr="008865D3">
        <w:rPr>
          <w:rFonts w:ascii="Calibri" w:hAnsi="Calibri" w:cs="Calibri"/>
          <w:b/>
          <w:bCs/>
        </w:rPr>
        <w:t>4.1 Transparenz bei Leasingangeboten</w:t>
      </w:r>
    </w:p>
    <w:p w14:paraId="2164184C" w14:textId="3571E199" w:rsidR="008865D3" w:rsidRPr="008865D3" w:rsidRDefault="008865D3" w:rsidP="00A2531E">
      <w:pPr>
        <w:spacing w:after="60"/>
        <w:rPr>
          <w:rFonts w:ascii="Calibri" w:hAnsi="Calibri" w:cs="Calibri"/>
        </w:rPr>
      </w:pPr>
      <w:r w:rsidRPr="008865D3">
        <w:rPr>
          <w:rFonts w:ascii="Calibri" w:hAnsi="Calibri" w:cs="Calibri"/>
        </w:rPr>
        <w:t>Die vorgeschlagenen Änderungen der PBV begrüssen wir ausdrücklich. Fahrzeugleasing ist für Konsumenten häufig schwer zu beurteilen, weil sich Angebote nicht allein anhand der monatlichen Rate vergleichen lassen.</w:t>
      </w:r>
    </w:p>
    <w:p w14:paraId="1804EA96" w14:textId="0077A9C5" w:rsidR="008865D3" w:rsidRPr="008865D3" w:rsidRDefault="008865D3" w:rsidP="00A2531E">
      <w:pPr>
        <w:spacing w:after="60"/>
        <w:rPr>
          <w:rFonts w:ascii="Calibri" w:hAnsi="Calibri" w:cs="Calibri"/>
        </w:rPr>
      </w:pPr>
      <w:r w:rsidRPr="008865D3">
        <w:rPr>
          <w:rFonts w:ascii="Calibri" w:hAnsi="Calibri" w:cs="Calibri"/>
        </w:rPr>
        <w:t xml:space="preserve">Zwei Leasingangebote mit derselben Monatsrate können sich beispielsweise durch unterschiedliche </w:t>
      </w:r>
      <w:proofErr w:type="spellStart"/>
      <w:r w:rsidRPr="008865D3">
        <w:rPr>
          <w:rFonts w:ascii="Calibri" w:hAnsi="Calibri" w:cs="Calibri"/>
        </w:rPr>
        <w:t>Anzah</w:t>
      </w:r>
      <w:r w:rsidR="006F24C8">
        <w:rPr>
          <w:rFonts w:ascii="Calibri" w:hAnsi="Calibri" w:cs="Calibri"/>
        </w:rPr>
        <w:t>-</w:t>
      </w:r>
      <w:r w:rsidRPr="008865D3">
        <w:rPr>
          <w:rFonts w:ascii="Calibri" w:hAnsi="Calibri" w:cs="Calibri"/>
        </w:rPr>
        <w:t>lung</w:t>
      </w:r>
      <w:proofErr w:type="spellEnd"/>
      <w:r w:rsidRPr="008865D3">
        <w:rPr>
          <w:rFonts w:ascii="Calibri" w:hAnsi="Calibri" w:cs="Calibri"/>
        </w:rPr>
        <w:t xml:space="preserve">, Vertragsdauer, Restwert, </w:t>
      </w:r>
      <w:proofErr w:type="spellStart"/>
      <w:r w:rsidRPr="008865D3">
        <w:rPr>
          <w:rFonts w:ascii="Calibri" w:hAnsi="Calibri" w:cs="Calibri"/>
        </w:rPr>
        <w:t>Kilometerlimiten</w:t>
      </w:r>
      <w:proofErr w:type="spellEnd"/>
      <w:r w:rsidRPr="008865D3">
        <w:rPr>
          <w:rFonts w:ascii="Calibri" w:hAnsi="Calibri" w:cs="Calibri"/>
        </w:rPr>
        <w:t>, Gebühren oder Finanzierungsbeiträge wirtschaftlich deutlich unterscheiden. Eine aussagekräftige Preisangabe muss deshalb den tatsächlichen wirtschaftlichen Vorteil oder Nachteil eines Angebots sichtbar machen.</w:t>
      </w:r>
    </w:p>
    <w:p w14:paraId="0FA84134" w14:textId="77777777" w:rsidR="008865D3" w:rsidRPr="008865D3" w:rsidRDefault="008865D3" w:rsidP="008865D3">
      <w:pPr>
        <w:rPr>
          <w:rFonts w:ascii="Calibri" w:hAnsi="Calibri" w:cs="Calibri"/>
        </w:rPr>
      </w:pPr>
      <w:r w:rsidRPr="008865D3">
        <w:rPr>
          <w:rFonts w:ascii="Calibri" w:hAnsi="Calibri" w:cs="Calibri"/>
        </w:rPr>
        <w:t>Die bezifferte Offenlegung von Finanzierungsbeiträgen verbessert die Vergleichbarkeit und ermöglicht es Konsumentinnen und Konsumenten, Leasingangebote verschiedener Anbieter sachgerecht zu beurteilen.</w:t>
      </w:r>
    </w:p>
    <w:p w14:paraId="44DA3105" w14:textId="77777777" w:rsidR="008865D3" w:rsidRPr="008865D3" w:rsidRDefault="008865D3" w:rsidP="00A2531E">
      <w:pPr>
        <w:spacing w:after="60"/>
        <w:rPr>
          <w:rFonts w:ascii="Calibri" w:hAnsi="Calibri" w:cs="Calibri"/>
          <w:b/>
          <w:bCs/>
        </w:rPr>
      </w:pPr>
      <w:r w:rsidRPr="008865D3">
        <w:rPr>
          <w:rFonts w:ascii="Calibri" w:hAnsi="Calibri" w:cs="Calibri"/>
          <w:b/>
          <w:bCs/>
        </w:rPr>
        <w:t>4.2 Verdeckte Finanzierungsbeiträge</w:t>
      </w:r>
    </w:p>
    <w:p w14:paraId="01977173" w14:textId="77777777" w:rsidR="008865D3" w:rsidRPr="008865D3" w:rsidRDefault="008865D3" w:rsidP="00A2531E">
      <w:pPr>
        <w:spacing w:after="120"/>
        <w:rPr>
          <w:rFonts w:ascii="Calibri" w:hAnsi="Calibri" w:cs="Calibri"/>
        </w:rPr>
      </w:pPr>
      <w:r w:rsidRPr="008865D3">
        <w:rPr>
          <w:rFonts w:ascii="Calibri" w:hAnsi="Calibri" w:cs="Calibri"/>
        </w:rPr>
        <w:t>Verdeckte Finanzierungsbeiträge oder Quersubventionierungen können dazu führen, dass ein Leasingangebot günstiger erscheint, als es unter marktüblichen Bedingungen tatsächlich wäre. Dadurch wird der Preisvergleich erschwert und der Wettbewerb zwischen herstellergebundenen und unabhängigen Anbietern verzerrt.</w:t>
      </w:r>
    </w:p>
    <w:p w14:paraId="29E7FA15" w14:textId="09B8A2B1" w:rsidR="008865D3" w:rsidRPr="008865D3" w:rsidRDefault="008865D3" w:rsidP="00A2531E">
      <w:pPr>
        <w:spacing w:after="120"/>
        <w:rPr>
          <w:rFonts w:ascii="Calibri" w:hAnsi="Calibri" w:cs="Calibri"/>
        </w:rPr>
      </w:pPr>
      <w:r w:rsidRPr="008865D3">
        <w:rPr>
          <w:rFonts w:ascii="Calibri" w:hAnsi="Calibri" w:cs="Calibri"/>
        </w:rPr>
        <w:t>Eine Offenlegungspflicht schafft mehr Transparenz und sorgt für fairere Wettbewerbsbedingungen. Davon profitieren sowohl Konsumenten als auch Anbieter, die ihre Preise nachvollziehbar und transparent kalkulieren.</w:t>
      </w:r>
    </w:p>
    <w:p w14:paraId="4371BF09" w14:textId="77777777" w:rsidR="008865D3" w:rsidRPr="008865D3" w:rsidRDefault="008865D3" w:rsidP="00A2531E">
      <w:pPr>
        <w:spacing w:after="60"/>
        <w:rPr>
          <w:rFonts w:ascii="Calibri" w:hAnsi="Calibri" w:cs="Calibri"/>
          <w:b/>
          <w:bCs/>
        </w:rPr>
      </w:pPr>
      <w:r w:rsidRPr="008865D3">
        <w:rPr>
          <w:rFonts w:ascii="Calibri" w:hAnsi="Calibri" w:cs="Calibri"/>
          <w:b/>
          <w:bCs/>
        </w:rPr>
        <w:t>4.3 Transparenz bereits in der Werbung</w:t>
      </w:r>
    </w:p>
    <w:p w14:paraId="7DBAA594" w14:textId="77777777" w:rsidR="008865D3" w:rsidRPr="008865D3" w:rsidRDefault="008865D3" w:rsidP="00A2531E">
      <w:pPr>
        <w:spacing w:after="60"/>
        <w:rPr>
          <w:rFonts w:ascii="Calibri" w:hAnsi="Calibri" w:cs="Calibri"/>
        </w:rPr>
      </w:pPr>
      <w:r w:rsidRPr="008865D3">
        <w:rPr>
          <w:rFonts w:ascii="Calibri" w:hAnsi="Calibri" w:cs="Calibri"/>
        </w:rPr>
        <w:t xml:space="preserve">Wir unterstützen insbesondere die vorgeschlagene Regelung von Art. </w:t>
      </w:r>
      <w:proofErr w:type="spellStart"/>
      <w:r w:rsidRPr="008865D3">
        <w:rPr>
          <w:rFonts w:ascii="Calibri" w:hAnsi="Calibri" w:cs="Calibri"/>
        </w:rPr>
        <w:t>13b</w:t>
      </w:r>
      <w:proofErr w:type="spellEnd"/>
      <w:r w:rsidRPr="008865D3">
        <w:rPr>
          <w:rFonts w:ascii="Calibri" w:hAnsi="Calibri" w:cs="Calibri"/>
        </w:rPr>
        <w:t xml:space="preserve"> E-PBV. Der beworbene Zinssatz allein genügt nicht, um die Attraktivität eines Leasingangebots zu beurteilen.</w:t>
      </w:r>
    </w:p>
    <w:p w14:paraId="7C6F1719" w14:textId="77777777" w:rsidR="008865D3" w:rsidRPr="008865D3" w:rsidRDefault="008865D3" w:rsidP="008865D3">
      <w:pPr>
        <w:rPr>
          <w:rFonts w:ascii="Calibri" w:hAnsi="Calibri" w:cs="Calibri"/>
        </w:rPr>
      </w:pPr>
      <w:r w:rsidRPr="008865D3">
        <w:rPr>
          <w:rFonts w:ascii="Calibri" w:hAnsi="Calibri" w:cs="Calibri"/>
        </w:rPr>
        <w:t>Wenn der aggregierte Preiseffekt nicht bereits in der Werbung ausgewiesen werden muss, besteht weiterhin die Gefahr, dass Angebote mit besonders tiefem oder angeblich kostenlosem Zinssatz beworben werden, obwohl der tatsächliche Preisvorteil nicht entsprechend gross ist.</w:t>
      </w:r>
    </w:p>
    <w:p w14:paraId="4CD60F7F" w14:textId="0BF7D72C" w:rsidR="008865D3" w:rsidRPr="008865D3" w:rsidRDefault="008865D3" w:rsidP="00A2531E">
      <w:pPr>
        <w:spacing w:after="120"/>
        <w:rPr>
          <w:rFonts w:ascii="Calibri" w:hAnsi="Calibri" w:cs="Calibri"/>
        </w:rPr>
      </w:pPr>
      <w:r w:rsidRPr="008865D3">
        <w:rPr>
          <w:rFonts w:ascii="Calibri" w:hAnsi="Calibri" w:cs="Calibri"/>
        </w:rPr>
        <w:lastRenderedPageBreak/>
        <w:t>Die erforderlichen Informationen müssen deshalb bereits in der Werbung klar, verständlich und beziffert angegeben werden. Konsumenten sollen nicht erst im Kleingedruckten oder während eines Beratungs</w:t>
      </w:r>
      <w:r w:rsidR="00A2531E">
        <w:rPr>
          <w:rFonts w:ascii="Calibri" w:hAnsi="Calibri" w:cs="Calibri"/>
        </w:rPr>
        <w:t>-</w:t>
      </w:r>
      <w:r w:rsidRPr="008865D3">
        <w:rPr>
          <w:rFonts w:ascii="Calibri" w:hAnsi="Calibri" w:cs="Calibri"/>
        </w:rPr>
        <w:t>gesprächs erkennen können, wie ein Angebot tatsächlich finanziert wird.</w:t>
      </w:r>
    </w:p>
    <w:p w14:paraId="4B1D46E4" w14:textId="77777777" w:rsidR="008865D3" w:rsidRPr="008865D3" w:rsidRDefault="008865D3" w:rsidP="00A2531E">
      <w:pPr>
        <w:spacing w:after="60"/>
        <w:rPr>
          <w:rFonts w:ascii="Calibri" w:hAnsi="Calibri" w:cs="Calibri"/>
          <w:b/>
          <w:bCs/>
        </w:rPr>
      </w:pPr>
      <w:r w:rsidRPr="008865D3">
        <w:rPr>
          <w:rFonts w:ascii="Calibri" w:hAnsi="Calibri" w:cs="Calibri"/>
          <w:b/>
          <w:bCs/>
        </w:rPr>
        <w:t>4.4 Schutz von Geschäftsgeheimnissen</w:t>
      </w:r>
    </w:p>
    <w:p w14:paraId="0E264E5E" w14:textId="5E73EB09" w:rsidR="008865D3" w:rsidRPr="008865D3" w:rsidRDefault="00A2531E" w:rsidP="00A2531E">
      <w:pPr>
        <w:spacing w:after="120"/>
        <w:rPr>
          <w:rFonts w:ascii="Calibri" w:hAnsi="Calibri" w:cs="Calibri"/>
        </w:rPr>
      </w:pPr>
      <w:r>
        <w:rPr>
          <w:rFonts w:ascii="Calibri" w:hAnsi="Calibri" w:cs="Calibri"/>
        </w:rPr>
        <w:t>D</w:t>
      </w:r>
      <w:r w:rsidR="008865D3" w:rsidRPr="008865D3">
        <w:rPr>
          <w:rFonts w:ascii="Calibri" w:hAnsi="Calibri" w:cs="Calibri"/>
        </w:rPr>
        <w:t xml:space="preserve">er Verzicht auf eine Begrenzung auf Leasinggeschäfte bis zu einem bestimmten Betrag ist aus </w:t>
      </w:r>
      <w:proofErr w:type="spellStart"/>
      <w:r w:rsidR="008865D3" w:rsidRPr="008865D3">
        <w:rPr>
          <w:rFonts w:ascii="Calibri" w:hAnsi="Calibri" w:cs="Calibri"/>
        </w:rPr>
        <w:t>Kon</w:t>
      </w:r>
      <w:r>
        <w:rPr>
          <w:rFonts w:ascii="Calibri" w:hAnsi="Calibri" w:cs="Calibri"/>
        </w:rPr>
        <w:t>sumen-</w:t>
      </w:r>
      <w:r w:rsidR="008865D3" w:rsidRPr="008865D3">
        <w:rPr>
          <w:rFonts w:ascii="Calibri" w:hAnsi="Calibri" w:cs="Calibri"/>
        </w:rPr>
        <w:t>tensicht</w:t>
      </w:r>
      <w:proofErr w:type="spellEnd"/>
      <w:r w:rsidR="008865D3" w:rsidRPr="008865D3">
        <w:rPr>
          <w:rFonts w:ascii="Calibri" w:hAnsi="Calibri" w:cs="Calibri"/>
        </w:rPr>
        <w:t xml:space="preserve"> sachgerecht. Transparenz sollte nicht davon abhängen, ob ein Fahrzeug unter oder über einer bestimmten Preisgrenze liegt.</w:t>
      </w:r>
    </w:p>
    <w:p w14:paraId="7D2660CB" w14:textId="77777777" w:rsidR="00A2531E" w:rsidRDefault="008865D3" w:rsidP="00A2531E">
      <w:pPr>
        <w:spacing w:after="60"/>
        <w:rPr>
          <w:rFonts w:ascii="Calibri" w:hAnsi="Calibri" w:cs="Calibri"/>
          <w:b/>
          <w:bCs/>
          <w:color w:val="95DCF7" w:themeColor="accent4" w:themeTint="66"/>
        </w:rPr>
      </w:pPr>
      <w:r w:rsidRPr="009A50F3">
        <w:rPr>
          <w:rFonts w:ascii="Calibri" w:hAnsi="Calibri" w:cs="Calibri"/>
          <w:b/>
          <w:bCs/>
          <w:color w:val="95DCF7" w:themeColor="accent4" w:themeTint="66"/>
        </w:rPr>
        <w:t>5. Anträge</w:t>
      </w:r>
    </w:p>
    <w:p w14:paraId="02BE160B" w14:textId="74059BCB" w:rsidR="008865D3" w:rsidRPr="00A2531E" w:rsidRDefault="00A2531E" w:rsidP="00A2531E">
      <w:pPr>
        <w:spacing w:after="60"/>
        <w:rPr>
          <w:rFonts w:ascii="Calibri" w:hAnsi="Calibri" w:cs="Calibri"/>
          <w:b/>
          <w:bCs/>
          <w:color w:val="95DCF7" w:themeColor="accent4" w:themeTint="66"/>
        </w:rPr>
      </w:pPr>
      <w:r w:rsidRPr="00A2531E">
        <w:rPr>
          <w:rFonts w:ascii="Calibri" w:hAnsi="Calibri" w:cs="Calibri"/>
          <w:color w:val="000000" w:themeColor="text1"/>
        </w:rPr>
        <w:t>Zusammenfassend</w:t>
      </w:r>
      <w:r w:rsidR="008865D3" w:rsidRPr="008865D3">
        <w:rPr>
          <w:rFonts w:ascii="Calibri" w:hAnsi="Calibri" w:cs="Calibri"/>
        </w:rPr>
        <w:t xml:space="preserve"> stellen </w:t>
      </w:r>
      <w:r>
        <w:rPr>
          <w:rFonts w:ascii="Calibri" w:hAnsi="Calibri" w:cs="Calibri"/>
        </w:rPr>
        <w:t xml:space="preserve">wir </w:t>
      </w:r>
      <w:r w:rsidR="008865D3" w:rsidRPr="008865D3">
        <w:rPr>
          <w:rFonts w:ascii="Calibri" w:hAnsi="Calibri" w:cs="Calibri"/>
        </w:rPr>
        <w:t>folgende Anträge:</w:t>
      </w:r>
    </w:p>
    <w:p w14:paraId="516057C5" w14:textId="77777777" w:rsidR="008865D3" w:rsidRPr="008865D3" w:rsidRDefault="008865D3" w:rsidP="009A50F3">
      <w:pPr>
        <w:numPr>
          <w:ilvl w:val="0"/>
          <w:numId w:val="6"/>
        </w:numPr>
        <w:spacing w:after="60"/>
        <w:rPr>
          <w:rFonts w:ascii="Calibri" w:hAnsi="Calibri" w:cs="Calibri"/>
        </w:rPr>
      </w:pPr>
      <w:r w:rsidRPr="008865D3">
        <w:rPr>
          <w:rFonts w:ascii="Calibri" w:hAnsi="Calibri" w:cs="Calibri"/>
        </w:rPr>
        <w:t>Die Teilrevision der KFZV und der PBV sei zu verabschieden.</w:t>
      </w:r>
    </w:p>
    <w:p w14:paraId="78140E1C" w14:textId="045FB0FA" w:rsidR="008865D3" w:rsidRPr="008865D3" w:rsidRDefault="008865D3" w:rsidP="009A50F3">
      <w:pPr>
        <w:numPr>
          <w:ilvl w:val="0"/>
          <w:numId w:val="6"/>
        </w:numPr>
        <w:spacing w:after="60"/>
        <w:rPr>
          <w:rFonts w:ascii="Calibri" w:hAnsi="Calibri" w:cs="Calibri"/>
        </w:rPr>
      </w:pPr>
      <w:r w:rsidRPr="008865D3">
        <w:rPr>
          <w:rFonts w:ascii="Calibri" w:hAnsi="Calibri" w:cs="Calibri"/>
        </w:rPr>
        <w:t>Die Änderungen der PBV seien gemäss Vorlage umzusetzen, insbesondere die Pflicht zur Offen</w:t>
      </w:r>
      <w:r w:rsidR="009A50F3">
        <w:rPr>
          <w:rFonts w:ascii="Calibri" w:hAnsi="Calibri" w:cs="Calibri"/>
        </w:rPr>
        <w:t>-</w:t>
      </w:r>
      <w:r w:rsidRPr="008865D3">
        <w:rPr>
          <w:rFonts w:ascii="Calibri" w:hAnsi="Calibri" w:cs="Calibri"/>
        </w:rPr>
        <w:t>legung aggregierter Finanzierungsbeiträge und relevanter Preisparameter bei Leasingange</w:t>
      </w:r>
      <w:r w:rsidR="009A50F3">
        <w:rPr>
          <w:rFonts w:ascii="Calibri" w:hAnsi="Calibri" w:cs="Calibri"/>
        </w:rPr>
        <w:t>bo</w:t>
      </w:r>
      <w:r w:rsidRPr="008865D3">
        <w:rPr>
          <w:rFonts w:ascii="Calibri" w:hAnsi="Calibri" w:cs="Calibri"/>
        </w:rPr>
        <w:t>ten.</w:t>
      </w:r>
    </w:p>
    <w:p w14:paraId="346E4E72" w14:textId="77777777" w:rsidR="008865D3" w:rsidRPr="008865D3" w:rsidRDefault="008865D3" w:rsidP="009A50F3">
      <w:pPr>
        <w:numPr>
          <w:ilvl w:val="0"/>
          <w:numId w:val="6"/>
        </w:numPr>
        <w:spacing w:after="60"/>
        <w:rPr>
          <w:rFonts w:ascii="Calibri" w:hAnsi="Calibri" w:cs="Calibri"/>
        </w:rPr>
      </w:pPr>
      <w:r w:rsidRPr="008865D3">
        <w:rPr>
          <w:rFonts w:ascii="Calibri" w:hAnsi="Calibri" w:cs="Calibri"/>
        </w:rPr>
        <w:t>Art. 8 Abs. 2 E-KFZV sei so zu ergänzen, dass der wettbewerbsrechtliche Schutzrahmen der KFZV bei sachlich vergleichbaren Agenturverträgen nicht auf die Kündigungsfrist beschränkt bleibt.</w:t>
      </w:r>
    </w:p>
    <w:p w14:paraId="06C43213" w14:textId="555647FC" w:rsidR="008865D3" w:rsidRPr="008865D3" w:rsidRDefault="008865D3" w:rsidP="009A50F3">
      <w:pPr>
        <w:numPr>
          <w:ilvl w:val="0"/>
          <w:numId w:val="6"/>
        </w:numPr>
        <w:spacing w:after="60"/>
        <w:rPr>
          <w:rFonts w:ascii="Calibri" w:hAnsi="Calibri" w:cs="Calibri"/>
        </w:rPr>
      </w:pPr>
      <w:r w:rsidRPr="008865D3">
        <w:rPr>
          <w:rFonts w:ascii="Calibri" w:hAnsi="Calibri" w:cs="Calibri"/>
        </w:rPr>
        <w:t>In der KFZV sei ausdrücklich festzuhalten, dass die flächendeckende Ablösung eines beste</w:t>
      </w:r>
      <w:r w:rsidR="009A50F3">
        <w:rPr>
          <w:rFonts w:ascii="Calibri" w:hAnsi="Calibri" w:cs="Calibri"/>
        </w:rPr>
        <w:t>hen</w:t>
      </w:r>
      <w:r w:rsidRPr="008865D3">
        <w:rPr>
          <w:rFonts w:ascii="Calibri" w:hAnsi="Calibri" w:cs="Calibri"/>
        </w:rPr>
        <w:t>den Händler- und Werkstattnetzes nur zulässig ist, wenn der Hersteller einen signifikanten Effizienz</w:t>
      </w:r>
      <w:r w:rsidR="00A2531E">
        <w:rPr>
          <w:rFonts w:ascii="Calibri" w:hAnsi="Calibri" w:cs="Calibri"/>
        </w:rPr>
        <w:t>-</w:t>
      </w:r>
      <w:r w:rsidRPr="008865D3">
        <w:rPr>
          <w:rFonts w:ascii="Calibri" w:hAnsi="Calibri" w:cs="Calibri"/>
        </w:rPr>
        <w:t>gewinn nachweist.</w:t>
      </w:r>
    </w:p>
    <w:p w14:paraId="2FC1C165" w14:textId="77777777" w:rsidR="008865D3" w:rsidRPr="008865D3" w:rsidRDefault="008865D3" w:rsidP="009A50F3">
      <w:pPr>
        <w:numPr>
          <w:ilvl w:val="0"/>
          <w:numId w:val="6"/>
        </w:numPr>
        <w:spacing w:after="60"/>
        <w:rPr>
          <w:rFonts w:ascii="Calibri" w:hAnsi="Calibri" w:cs="Calibri"/>
        </w:rPr>
      </w:pPr>
      <w:r w:rsidRPr="008865D3">
        <w:rPr>
          <w:rFonts w:ascii="Calibri" w:hAnsi="Calibri" w:cs="Calibri"/>
        </w:rPr>
        <w:t>Falls die Anträge 3 und 4 nicht im Rahmen der vorliegenden Revision umgesetzt werden können, seien sie in einer unmittelbar anschliessenden zweiten Revisionsetappe zu behandeln.</w:t>
      </w:r>
    </w:p>
    <w:p w14:paraId="372505E6" w14:textId="77777777" w:rsidR="008865D3" w:rsidRPr="008865D3" w:rsidRDefault="008865D3" w:rsidP="009A50F3">
      <w:pPr>
        <w:numPr>
          <w:ilvl w:val="0"/>
          <w:numId w:val="6"/>
        </w:numPr>
        <w:spacing w:after="60"/>
        <w:rPr>
          <w:rFonts w:ascii="Calibri" w:hAnsi="Calibri" w:cs="Calibri"/>
        </w:rPr>
      </w:pPr>
      <w:r w:rsidRPr="008865D3">
        <w:rPr>
          <w:rFonts w:ascii="Calibri" w:hAnsi="Calibri" w:cs="Calibri"/>
        </w:rPr>
        <w:t>Die bereits entscheidungsreifen Teile der Revision seien dadurch nicht zu verzögern.</w:t>
      </w:r>
    </w:p>
    <w:p w14:paraId="226029F7" w14:textId="77777777" w:rsidR="008865D3" w:rsidRPr="008865D3" w:rsidRDefault="008865D3" w:rsidP="00A2531E">
      <w:pPr>
        <w:numPr>
          <w:ilvl w:val="0"/>
          <w:numId w:val="6"/>
        </w:numPr>
        <w:spacing w:after="120"/>
        <w:ind w:left="714" w:hanging="357"/>
        <w:rPr>
          <w:rFonts w:ascii="Calibri" w:hAnsi="Calibri" w:cs="Calibri"/>
        </w:rPr>
      </w:pPr>
      <w:r w:rsidRPr="008865D3">
        <w:rPr>
          <w:rFonts w:ascii="Calibri" w:hAnsi="Calibri" w:cs="Calibri"/>
        </w:rPr>
        <w:t>Die Änderungen seien spätestens per 1. Januar 2027 in Kraft zu setzen.</w:t>
      </w:r>
    </w:p>
    <w:p w14:paraId="5E36A14D" w14:textId="77777777" w:rsidR="008865D3" w:rsidRPr="008865D3" w:rsidRDefault="008865D3" w:rsidP="008865D3">
      <w:pPr>
        <w:rPr>
          <w:rFonts w:ascii="Calibri" w:hAnsi="Calibri" w:cs="Calibri"/>
        </w:rPr>
      </w:pPr>
      <w:r w:rsidRPr="008865D3">
        <w:rPr>
          <w:rFonts w:ascii="Calibri" w:hAnsi="Calibri" w:cs="Calibri"/>
        </w:rPr>
        <w:t>Wir danken Ihnen für die Berücksichtigung unserer Anliegen.</w:t>
      </w:r>
    </w:p>
    <w:p w14:paraId="36C23BC0" w14:textId="77777777" w:rsidR="008865D3" w:rsidRPr="008865D3" w:rsidRDefault="008865D3" w:rsidP="008865D3">
      <w:pPr>
        <w:rPr>
          <w:rFonts w:ascii="Calibri" w:hAnsi="Calibri" w:cs="Calibri"/>
        </w:rPr>
      </w:pPr>
      <w:r w:rsidRPr="008865D3">
        <w:rPr>
          <w:rFonts w:ascii="Calibri" w:hAnsi="Calibri" w:cs="Calibri"/>
          <w:noProof/>
        </w:rPr>
        <w:drawing>
          <wp:anchor distT="0" distB="0" distL="114300" distR="114300" simplePos="0" relativeHeight="251659264" behindDoc="1" locked="0" layoutInCell="1" allowOverlap="1" wp14:anchorId="2561389F" wp14:editId="08EA16DA">
            <wp:simplePos x="0" y="0"/>
            <wp:positionH relativeFrom="margin">
              <wp:align>left</wp:align>
            </wp:positionH>
            <wp:positionV relativeFrom="paragraph">
              <wp:posOffset>262255</wp:posOffset>
            </wp:positionV>
            <wp:extent cx="1219200" cy="406400"/>
            <wp:effectExtent l="0" t="0" r="0" b="0"/>
            <wp:wrapTight wrapText="bothSides">
              <wp:wrapPolygon edited="0">
                <wp:start x="0" y="0"/>
                <wp:lineTo x="0" y="20250"/>
                <wp:lineTo x="21263" y="20250"/>
                <wp:lineTo x="21263" y="0"/>
                <wp:lineTo x="0" y="0"/>
              </wp:wrapPolygon>
            </wp:wrapTight>
            <wp:docPr id="7" name="Grafik 7" descr="Ein Bild, das Handschrift, Kalligrafie, Schrift,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Handschrift, Kalligrafie, Schrift, Typografie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9200" cy="406400"/>
                    </a:xfrm>
                    <a:prstGeom prst="rect">
                      <a:avLst/>
                    </a:prstGeom>
                  </pic:spPr>
                </pic:pic>
              </a:graphicData>
            </a:graphic>
            <wp14:sizeRelH relativeFrom="margin">
              <wp14:pctWidth>0</wp14:pctWidth>
            </wp14:sizeRelH>
            <wp14:sizeRelV relativeFrom="margin">
              <wp14:pctHeight>0</wp14:pctHeight>
            </wp14:sizeRelV>
          </wp:anchor>
        </w:drawing>
      </w:r>
      <w:r w:rsidRPr="008865D3">
        <w:rPr>
          <w:rFonts w:ascii="Calibri" w:hAnsi="Calibri" w:cs="Calibri"/>
        </w:rPr>
        <w:t>Mit freundlichen Grüssen</w:t>
      </w:r>
    </w:p>
    <w:p w14:paraId="547AF9E8" w14:textId="77777777" w:rsidR="008865D3" w:rsidRPr="008865D3" w:rsidRDefault="008865D3" w:rsidP="008865D3">
      <w:pPr>
        <w:spacing w:after="120"/>
        <w:rPr>
          <w:rFonts w:ascii="Calibri" w:hAnsi="Calibri" w:cs="Calibri"/>
        </w:rPr>
      </w:pPr>
    </w:p>
    <w:p w14:paraId="0CD22C3A" w14:textId="77777777" w:rsidR="008865D3" w:rsidRPr="008865D3" w:rsidRDefault="008865D3" w:rsidP="008865D3">
      <w:pPr>
        <w:spacing w:after="120"/>
        <w:rPr>
          <w:rFonts w:ascii="Calibri" w:hAnsi="Calibri" w:cs="Calibri"/>
        </w:rPr>
      </w:pPr>
    </w:p>
    <w:p w14:paraId="75F7529B" w14:textId="77777777" w:rsidR="008865D3" w:rsidRPr="008865D3" w:rsidRDefault="008865D3" w:rsidP="008865D3">
      <w:pPr>
        <w:tabs>
          <w:tab w:val="right" w:pos="9072"/>
        </w:tabs>
        <w:spacing w:after="120"/>
        <w:ind w:right="-2"/>
        <w:rPr>
          <w:rFonts w:ascii="Calibri" w:hAnsi="Calibri" w:cs="Calibri"/>
        </w:rPr>
      </w:pPr>
      <w:hyperlink r:id="rId7">
        <w:r w:rsidRPr="008865D3">
          <w:rPr>
            <w:rFonts w:ascii="Calibri" w:hAnsi="Calibri" w:cs="Calibri"/>
          </w:rPr>
          <w:t>Babette Sigg Frank</w:t>
        </w:r>
      </w:hyperlink>
      <w:r w:rsidRPr="008865D3">
        <w:rPr>
          <w:rFonts w:ascii="Calibri" w:hAnsi="Calibri" w:cs="Calibri"/>
        </w:rPr>
        <w:t>, Präsidentin</w:t>
      </w:r>
      <w:r w:rsidRPr="008865D3">
        <w:rPr>
          <w:rFonts w:ascii="Calibri" w:hAnsi="Calibri" w:cs="Calibri"/>
        </w:rPr>
        <w:br/>
      </w:r>
      <w:hyperlink r:id="rId8" w:history="1">
        <w:r w:rsidRPr="008865D3">
          <w:rPr>
            <w:rStyle w:val="Hyperlink"/>
            <w:rFonts w:ascii="Calibri" w:hAnsi="Calibri" w:cs="Calibri"/>
            <w:b/>
            <w:color w:val="95DCF7" w:themeColor="accent4" w:themeTint="66"/>
          </w:rPr>
          <w:t>praesidentin@konsum.ch</w:t>
        </w:r>
      </w:hyperlink>
      <w:r w:rsidRPr="008865D3">
        <w:rPr>
          <w:rFonts w:ascii="Calibri" w:hAnsi="Calibri" w:cs="Calibri"/>
        </w:rPr>
        <w:t>; 076 373 83 18</w:t>
      </w:r>
    </w:p>
    <w:p w14:paraId="2C290496" w14:textId="77777777" w:rsidR="008865D3" w:rsidRPr="008865D3" w:rsidRDefault="008865D3" w:rsidP="008865D3">
      <w:pPr>
        <w:tabs>
          <w:tab w:val="right" w:pos="9072"/>
        </w:tabs>
        <w:spacing w:after="120"/>
        <w:ind w:right="-2"/>
        <w:rPr>
          <w:rFonts w:ascii="Calibri" w:hAnsi="Calibri" w:cs="Calibri"/>
          <w:sz w:val="18"/>
          <w:szCs w:val="18"/>
        </w:rPr>
      </w:pPr>
      <w:r w:rsidRPr="008865D3">
        <w:rPr>
          <w:rFonts w:ascii="Calibri" w:hAnsi="Calibri" w:cs="Calibri"/>
          <w:sz w:val="18"/>
          <w:szCs w:val="18"/>
        </w:rPr>
        <w:t>Der Lesefreundlichkeit verpflichtet, verzichtet das kf auf Gendersprache und setzt auf generisches Maskulinum.</w:t>
      </w:r>
    </w:p>
    <w:p w14:paraId="165A317D" w14:textId="77777777" w:rsidR="00CB2E22" w:rsidRPr="008865D3" w:rsidRDefault="00CB2E22">
      <w:pPr>
        <w:rPr>
          <w:rFonts w:ascii="Calibri" w:hAnsi="Calibri" w:cs="Calibri"/>
        </w:rPr>
      </w:pPr>
    </w:p>
    <w:sectPr w:rsidR="00CB2E22" w:rsidRPr="008865D3" w:rsidSect="009A50F3">
      <w:headerReference w:type="first" r:id="rId9"/>
      <w:pgSz w:w="11906" w:h="16838"/>
      <w:pgMar w:top="2127" w:right="707" w:bottom="709" w:left="1418" w:header="425"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8A04" w14:textId="77777777" w:rsidR="008865D3" w:rsidRDefault="008865D3">
    <w:pPr>
      <w:pStyle w:val="Kopfzeile"/>
    </w:pPr>
    <w:r>
      <w:rPr>
        <w:noProof/>
        <w14:ligatures w14:val="standardContextual"/>
      </w:rPr>
      <w:drawing>
        <wp:anchor distT="0" distB="0" distL="114300" distR="114300" simplePos="0" relativeHeight="251659264" behindDoc="1" locked="0" layoutInCell="1" allowOverlap="1" wp14:anchorId="06A2A932" wp14:editId="2941A63A">
          <wp:simplePos x="0" y="0"/>
          <wp:positionH relativeFrom="column">
            <wp:posOffset>5193665</wp:posOffset>
          </wp:positionH>
          <wp:positionV relativeFrom="paragraph">
            <wp:posOffset>-117475</wp:posOffset>
          </wp:positionV>
          <wp:extent cx="1257300" cy="1097280"/>
          <wp:effectExtent l="0" t="0" r="0" b="0"/>
          <wp:wrapTight wrapText="bothSides">
            <wp:wrapPolygon edited="0">
              <wp:start x="16036" y="0"/>
              <wp:lineTo x="6218" y="1875"/>
              <wp:lineTo x="655" y="4125"/>
              <wp:lineTo x="0" y="9000"/>
              <wp:lineTo x="0" y="13500"/>
              <wp:lineTo x="2945" y="18375"/>
              <wp:lineTo x="5236" y="19875"/>
              <wp:lineTo x="10473" y="19875"/>
              <wp:lineTo x="12764" y="18375"/>
              <wp:lineTo x="16036" y="12375"/>
              <wp:lineTo x="20945" y="6375"/>
              <wp:lineTo x="21273" y="3375"/>
              <wp:lineTo x="20618" y="1875"/>
              <wp:lineTo x="18982" y="0"/>
              <wp:lineTo x="16036" y="0"/>
            </wp:wrapPolygon>
          </wp:wrapTight>
          <wp:docPr id="351956755" name="Grafik 1" descr="Ein Bild, das Logo, Symbol,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44714" name="Grafik 1" descr="Ein Bild, das Logo, Symbol,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257300" cy="1097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B29D9"/>
    <w:multiLevelType w:val="multilevel"/>
    <w:tmpl w:val="69F0B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DC0C37"/>
    <w:multiLevelType w:val="multilevel"/>
    <w:tmpl w:val="B53E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9163B6"/>
    <w:multiLevelType w:val="multilevel"/>
    <w:tmpl w:val="32E0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B178AD"/>
    <w:multiLevelType w:val="multilevel"/>
    <w:tmpl w:val="A3BC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F10AEA"/>
    <w:multiLevelType w:val="hybridMultilevel"/>
    <w:tmpl w:val="5ABC59C8"/>
    <w:lvl w:ilvl="0" w:tplc="CF50E0CE">
      <w:start w:val="1"/>
      <w:numFmt w:val="decimal"/>
      <w:lvlText w:val="%1."/>
      <w:lvlJc w:val="left"/>
      <w:pPr>
        <w:ind w:left="720" w:hanging="360"/>
      </w:pPr>
      <w:rPr>
        <w:rFonts w:ascii="Calibri" w:hAnsi="Calibri" w:hint="default"/>
        <w:color w:val="0F9ED5" w:themeColor="accent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72161103"/>
    <w:multiLevelType w:val="multilevel"/>
    <w:tmpl w:val="AB20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633917">
    <w:abstractNumId w:val="4"/>
  </w:num>
  <w:num w:numId="2" w16cid:durableId="2027292745">
    <w:abstractNumId w:val="5"/>
  </w:num>
  <w:num w:numId="3" w16cid:durableId="1061564974">
    <w:abstractNumId w:val="2"/>
  </w:num>
  <w:num w:numId="4" w16cid:durableId="1275021456">
    <w:abstractNumId w:val="3"/>
  </w:num>
  <w:num w:numId="5" w16cid:durableId="2060085765">
    <w:abstractNumId w:val="0"/>
  </w:num>
  <w:num w:numId="6" w16cid:durableId="565531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D3"/>
    <w:rsid w:val="00000A20"/>
    <w:rsid w:val="000B3982"/>
    <w:rsid w:val="00111157"/>
    <w:rsid w:val="00140CFF"/>
    <w:rsid w:val="001425F6"/>
    <w:rsid w:val="001A08FE"/>
    <w:rsid w:val="001B61AE"/>
    <w:rsid w:val="0022696E"/>
    <w:rsid w:val="00240027"/>
    <w:rsid w:val="002621CA"/>
    <w:rsid w:val="0027199E"/>
    <w:rsid w:val="002F0386"/>
    <w:rsid w:val="0030525F"/>
    <w:rsid w:val="003236AC"/>
    <w:rsid w:val="00327BE6"/>
    <w:rsid w:val="003378B6"/>
    <w:rsid w:val="00357980"/>
    <w:rsid w:val="00366DDB"/>
    <w:rsid w:val="00396847"/>
    <w:rsid w:val="003C0E39"/>
    <w:rsid w:val="003C4F93"/>
    <w:rsid w:val="003D6E6B"/>
    <w:rsid w:val="0040296B"/>
    <w:rsid w:val="004731B6"/>
    <w:rsid w:val="004B2995"/>
    <w:rsid w:val="004D0C68"/>
    <w:rsid w:val="004D5A16"/>
    <w:rsid w:val="00560090"/>
    <w:rsid w:val="005C1CAD"/>
    <w:rsid w:val="005E7848"/>
    <w:rsid w:val="00634F89"/>
    <w:rsid w:val="0066582A"/>
    <w:rsid w:val="00677F92"/>
    <w:rsid w:val="006A770D"/>
    <w:rsid w:val="006F24C8"/>
    <w:rsid w:val="00705D80"/>
    <w:rsid w:val="0072065C"/>
    <w:rsid w:val="00735EF7"/>
    <w:rsid w:val="0076394B"/>
    <w:rsid w:val="007814A0"/>
    <w:rsid w:val="007B1958"/>
    <w:rsid w:val="007D419A"/>
    <w:rsid w:val="008051D3"/>
    <w:rsid w:val="008865D3"/>
    <w:rsid w:val="00897F75"/>
    <w:rsid w:val="008B103D"/>
    <w:rsid w:val="008B4E55"/>
    <w:rsid w:val="008D7357"/>
    <w:rsid w:val="00937594"/>
    <w:rsid w:val="0099507B"/>
    <w:rsid w:val="009A50F3"/>
    <w:rsid w:val="00A17316"/>
    <w:rsid w:val="00A2531E"/>
    <w:rsid w:val="00A26A78"/>
    <w:rsid w:val="00A4488B"/>
    <w:rsid w:val="00A635B6"/>
    <w:rsid w:val="00AD1225"/>
    <w:rsid w:val="00AE154A"/>
    <w:rsid w:val="00B0561E"/>
    <w:rsid w:val="00B133DE"/>
    <w:rsid w:val="00B1401F"/>
    <w:rsid w:val="00B30BA6"/>
    <w:rsid w:val="00B969E3"/>
    <w:rsid w:val="00BB7FC5"/>
    <w:rsid w:val="00C210EE"/>
    <w:rsid w:val="00C3073A"/>
    <w:rsid w:val="00C52B86"/>
    <w:rsid w:val="00C712CC"/>
    <w:rsid w:val="00C74D9A"/>
    <w:rsid w:val="00CB2E22"/>
    <w:rsid w:val="00CE10CE"/>
    <w:rsid w:val="00DC4983"/>
    <w:rsid w:val="00DD52AA"/>
    <w:rsid w:val="00E06038"/>
    <w:rsid w:val="00E153A0"/>
    <w:rsid w:val="00E528F6"/>
    <w:rsid w:val="00F92637"/>
    <w:rsid w:val="00FC64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31F76"/>
  <w15:chartTrackingRefBased/>
  <w15:docId w15:val="{4A2A1AC5-387B-4850-8661-4474E489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65D3"/>
    <w:rPr>
      <w:rFonts w:asciiTheme="minorHAnsi" w:hAnsiTheme="minorHAnsi"/>
      <w:kern w:val="0"/>
      <w14:ligatures w14:val="none"/>
    </w:rPr>
  </w:style>
  <w:style w:type="paragraph" w:styleId="berschrift1">
    <w:name w:val="heading 1"/>
    <w:basedOn w:val="Standard"/>
    <w:next w:val="Standard"/>
    <w:link w:val="berschrift1Zchn"/>
    <w:uiPriority w:val="9"/>
    <w:qFormat/>
    <w:rsid w:val="00886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86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865D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865D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865D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865D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865D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865D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865D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65D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865D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865D3"/>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865D3"/>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865D3"/>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8865D3"/>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865D3"/>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8865D3"/>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865D3"/>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886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865D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865D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865D3"/>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8865D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865D3"/>
    <w:rPr>
      <w:i/>
      <w:iCs/>
      <w:color w:val="404040" w:themeColor="text1" w:themeTint="BF"/>
    </w:rPr>
  </w:style>
  <w:style w:type="paragraph" w:styleId="Listenabsatz">
    <w:name w:val="List Paragraph"/>
    <w:basedOn w:val="Standard"/>
    <w:uiPriority w:val="34"/>
    <w:qFormat/>
    <w:rsid w:val="008865D3"/>
    <w:pPr>
      <w:ind w:left="720"/>
      <w:contextualSpacing/>
    </w:pPr>
  </w:style>
  <w:style w:type="character" w:styleId="IntensiveHervorhebung">
    <w:name w:val="Intense Emphasis"/>
    <w:basedOn w:val="Absatz-Standardschriftart"/>
    <w:uiPriority w:val="21"/>
    <w:qFormat/>
    <w:rsid w:val="008865D3"/>
    <w:rPr>
      <w:i/>
      <w:iCs/>
      <w:color w:val="0F4761" w:themeColor="accent1" w:themeShade="BF"/>
    </w:rPr>
  </w:style>
  <w:style w:type="paragraph" w:styleId="IntensivesZitat">
    <w:name w:val="Intense Quote"/>
    <w:basedOn w:val="Standard"/>
    <w:next w:val="Standard"/>
    <w:link w:val="IntensivesZitatZchn"/>
    <w:uiPriority w:val="30"/>
    <w:qFormat/>
    <w:rsid w:val="00886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865D3"/>
    <w:rPr>
      <w:i/>
      <w:iCs/>
      <w:color w:val="0F4761" w:themeColor="accent1" w:themeShade="BF"/>
    </w:rPr>
  </w:style>
  <w:style w:type="character" w:styleId="IntensiverVerweis">
    <w:name w:val="Intense Reference"/>
    <w:basedOn w:val="Absatz-Standardschriftart"/>
    <w:uiPriority w:val="32"/>
    <w:qFormat/>
    <w:rsid w:val="008865D3"/>
    <w:rPr>
      <w:b/>
      <w:bCs/>
      <w:smallCaps/>
      <w:color w:val="0F4761" w:themeColor="accent1" w:themeShade="BF"/>
      <w:spacing w:val="5"/>
    </w:rPr>
  </w:style>
  <w:style w:type="paragraph" w:styleId="Kopfzeile">
    <w:name w:val="header"/>
    <w:basedOn w:val="Standard"/>
    <w:link w:val="KopfzeileZchn"/>
    <w:uiPriority w:val="99"/>
    <w:unhideWhenUsed/>
    <w:rsid w:val="008865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65D3"/>
    <w:rPr>
      <w:rFonts w:asciiTheme="minorHAnsi" w:hAnsiTheme="minorHAnsi"/>
      <w:kern w:val="0"/>
      <w14:ligatures w14:val="none"/>
    </w:rPr>
  </w:style>
  <w:style w:type="character" w:styleId="Hyperlink">
    <w:name w:val="Hyperlink"/>
    <w:basedOn w:val="Absatz-Standardschriftart"/>
    <w:uiPriority w:val="99"/>
    <w:unhideWhenUsed/>
    <w:rsid w:val="008865D3"/>
    <w:rPr>
      <w:color w:val="0000FF"/>
      <w:u w:val="single"/>
    </w:rPr>
  </w:style>
  <w:style w:type="paragraph" w:styleId="KeinLeerraum">
    <w:name w:val="No Spacing"/>
    <w:uiPriority w:val="1"/>
    <w:qFormat/>
    <w:rsid w:val="008865D3"/>
    <w:pPr>
      <w:spacing w:after="0" w:line="240" w:lineRule="auto"/>
    </w:pPr>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esidentin@konsum.ch" TargetMode="External"/><Relationship Id="rId3" Type="http://schemas.openxmlformats.org/officeDocument/2006/relationships/settings" Target="settings.xml"/><Relationship Id="rId7" Type="http://schemas.openxmlformats.org/officeDocument/2006/relationships/hyperlink" Target="https://konsum.ch/ueber-uns/vorst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wp-sekretariat@seco.admin.c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1440</Words>
  <Characters>9074</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Präsidentin</dc:creator>
  <cp:keywords/>
  <dc:description/>
  <cp:lastModifiedBy>Präsidentin</cp:lastModifiedBy>
  <cp:revision>1</cp:revision>
  <dcterms:created xsi:type="dcterms:W3CDTF">2026-08-12T09:05:00Z</dcterms:created>
  <dcterms:modified xsi:type="dcterms:W3CDTF">2026-08-12T11:27:00Z</dcterms:modified>
</cp:coreProperties>
</file>