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9F41" w14:textId="77777777" w:rsidR="00DA011D" w:rsidRPr="00DA011D" w:rsidRDefault="00DA011D" w:rsidP="00DA011D">
      <w:pPr>
        <w:pStyle w:val="Kopfzeile"/>
        <w:spacing w:after="120" w:line="259" w:lineRule="auto"/>
        <w:ind w:right="-2"/>
        <w:rPr>
          <w:rFonts w:ascii="Calibri" w:hAnsi="Calibri" w:cs="Calibri"/>
          <w:color w:val="45B0E1" w:themeColor="accent1" w:themeTint="99"/>
          <w:sz w:val="18"/>
          <w:szCs w:val="18"/>
          <w:u w:val="single"/>
        </w:rPr>
      </w:pPr>
      <w:r w:rsidRPr="00DA011D">
        <w:rPr>
          <w:rFonts w:ascii="Calibri" w:hAnsi="Calibri" w:cs="Calibri"/>
          <w:color w:val="45B0E1" w:themeColor="accent1" w:themeTint="99"/>
          <w:sz w:val="18"/>
          <w:szCs w:val="18"/>
          <w:u w:val="single"/>
        </w:rPr>
        <w:t>Schweiz. Konsumentenforum kf, Belpstrasse 11, 3007 Bern</w:t>
      </w:r>
    </w:p>
    <w:p w14:paraId="79A05A99" w14:textId="77777777" w:rsidR="00DA011D" w:rsidRPr="00DA011D" w:rsidRDefault="00DA011D" w:rsidP="00DA011D">
      <w:pPr>
        <w:tabs>
          <w:tab w:val="right" w:pos="9072"/>
        </w:tabs>
        <w:spacing w:after="0"/>
        <w:rPr>
          <w:rFonts w:ascii="Calibri" w:hAnsi="Calibri" w:cs="Calibri"/>
        </w:rPr>
      </w:pPr>
      <w:r w:rsidRPr="00DA011D">
        <w:rPr>
          <w:rFonts w:ascii="Calibri" w:hAnsi="Calibri" w:cs="Calibri"/>
        </w:rPr>
        <w:t>Bundesamt für Gesundheit BAG</w:t>
      </w:r>
    </w:p>
    <w:p w14:paraId="17C0A58E" w14:textId="77777777" w:rsidR="00DA011D" w:rsidRPr="00DA011D" w:rsidRDefault="00DA011D" w:rsidP="00DA011D">
      <w:pPr>
        <w:tabs>
          <w:tab w:val="right" w:pos="9072"/>
        </w:tabs>
        <w:spacing w:after="0"/>
        <w:rPr>
          <w:rFonts w:ascii="Calibri" w:hAnsi="Calibri" w:cs="Calibri"/>
        </w:rPr>
      </w:pPr>
      <w:r w:rsidRPr="00DA011D">
        <w:rPr>
          <w:rFonts w:ascii="Calibri" w:hAnsi="Calibri" w:cs="Calibri"/>
        </w:rPr>
        <w:t>Schwarztorstrasse 157</w:t>
      </w:r>
    </w:p>
    <w:p w14:paraId="549C09BB" w14:textId="77777777" w:rsidR="00DA011D" w:rsidRPr="00DA011D" w:rsidRDefault="00DA011D" w:rsidP="00DA011D">
      <w:pPr>
        <w:tabs>
          <w:tab w:val="right" w:pos="9072"/>
        </w:tabs>
        <w:spacing w:after="120"/>
        <w:rPr>
          <w:rFonts w:ascii="Calibri" w:hAnsi="Calibri" w:cs="Calibri"/>
          <w:b/>
          <w:bCs/>
          <w:color w:val="A02B93" w:themeColor="accent5"/>
          <w:u w:val="single"/>
        </w:rPr>
      </w:pPr>
      <w:r w:rsidRPr="00DA011D">
        <w:rPr>
          <w:rFonts w:ascii="Calibri" w:hAnsi="Calibri" w:cs="Calibri"/>
        </w:rPr>
        <w:t xml:space="preserve">3003 </w:t>
      </w:r>
      <w:r w:rsidRPr="00DA011D">
        <w:rPr>
          <w:rFonts w:ascii="Calibri" w:hAnsi="Calibri" w:cs="Calibri"/>
          <w:b/>
          <w:bCs/>
          <w:color w:val="45B0E1" w:themeColor="accent1" w:themeTint="99"/>
        </w:rPr>
        <w:t>Bern</w:t>
      </w:r>
      <w:r w:rsidRPr="00DA011D">
        <w:rPr>
          <w:rFonts w:ascii="Calibri" w:hAnsi="Calibri" w:cs="Calibri"/>
          <w:b/>
          <w:bCs/>
          <w:color w:val="45B0E1" w:themeColor="accent1" w:themeTint="99"/>
          <w:u w:val="single"/>
        </w:rPr>
        <w:t xml:space="preserve"> </w:t>
      </w:r>
    </w:p>
    <w:p w14:paraId="012E4047" w14:textId="284B77F5" w:rsidR="00DA011D" w:rsidRPr="00D93885" w:rsidRDefault="00DA011D" w:rsidP="00DA011D">
      <w:pPr>
        <w:pStyle w:val="KeinLeerraum"/>
        <w:spacing w:after="240"/>
        <w:rPr>
          <w:lang w:val="en-GB"/>
        </w:rPr>
      </w:pPr>
      <w:r w:rsidRPr="00D93885">
        <w:rPr>
          <w:rFonts w:ascii="Calibri" w:hAnsi="Calibri" w:cs="Calibri"/>
          <w:lang w:val="en-GB"/>
        </w:rPr>
        <w:t>Per Mail an</w:t>
      </w:r>
      <w:r w:rsidRPr="00D93885">
        <w:rPr>
          <w:rFonts w:ascii="Calibri" w:hAnsi="Calibri" w:cs="Calibri"/>
          <w:color w:val="83CAEB" w:themeColor="accent1" w:themeTint="66"/>
          <w:lang w:val="en-GB"/>
        </w:rPr>
        <w:t xml:space="preserve"> </w:t>
      </w:r>
      <w:hyperlink r:id="rId5" w:history="1">
        <w:r w:rsidRPr="00D93885">
          <w:rPr>
            <w:rStyle w:val="Hyperlink"/>
            <w:rFonts w:ascii="Calibri" w:hAnsi="Calibri" w:cs="Calibri"/>
            <w:color w:val="45B0E1" w:themeColor="accent1" w:themeTint="99"/>
            <w:lang w:val="en-GB"/>
          </w:rPr>
          <w:t>gever@bag.admin.ch</w:t>
        </w:r>
      </w:hyperlink>
      <w:r w:rsidRPr="00D93885">
        <w:rPr>
          <w:rFonts w:ascii="Calibri" w:hAnsi="Calibri" w:cs="Calibri"/>
          <w:color w:val="45B0E1" w:themeColor="accent1" w:themeTint="99"/>
          <w:lang w:val="en-GB"/>
        </w:rPr>
        <w:t xml:space="preserve"> </w:t>
      </w:r>
      <w:r w:rsidRPr="00D93885">
        <w:rPr>
          <w:rFonts w:ascii="Calibri" w:hAnsi="Calibri" w:cs="Calibri"/>
          <w:lang w:val="en-GB"/>
        </w:rPr>
        <w:t>und</w:t>
      </w:r>
      <w:r w:rsidRPr="00D93885">
        <w:rPr>
          <w:rFonts w:ascii="Calibri" w:hAnsi="Calibri" w:cs="Calibri"/>
          <w:color w:val="45B0E1" w:themeColor="accent1" w:themeTint="99"/>
          <w:lang w:val="en-GB"/>
        </w:rPr>
        <w:t xml:space="preserve"> </w:t>
      </w:r>
      <w:hyperlink r:id="rId6" w:history="1">
        <w:r w:rsidR="00D93885" w:rsidRPr="00D93885">
          <w:rPr>
            <w:rStyle w:val="Hyperlink"/>
            <w:rFonts w:ascii="Calibri" w:hAnsi="Calibri" w:cs="Calibri"/>
            <w:color w:val="45B0E1" w:themeColor="accent1" w:themeTint="99"/>
            <w:lang w:val="en-GB"/>
          </w:rPr>
          <w:t>hmr-consultations@bag.adimn.ch</w:t>
        </w:r>
      </w:hyperlink>
      <w:r w:rsidR="00D93885" w:rsidRPr="00D93885">
        <w:rPr>
          <w:rFonts w:ascii="Calibri" w:hAnsi="Calibri" w:cs="Calibri"/>
          <w:color w:val="45B0E1" w:themeColor="accent1" w:themeTint="99"/>
          <w:lang w:val="en-GB"/>
        </w:rPr>
        <w:t xml:space="preserve"> </w:t>
      </w:r>
    </w:p>
    <w:p w14:paraId="66648223" w14:textId="77777777" w:rsidR="00DA011D" w:rsidRPr="00D93885" w:rsidRDefault="00DA011D" w:rsidP="00DA011D">
      <w:pPr>
        <w:pStyle w:val="KeinLeerraum"/>
        <w:spacing w:after="240"/>
        <w:rPr>
          <w:lang w:val="en-GB"/>
        </w:rPr>
      </w:pPr>
    </w:p>
    <w:p w14:paraId="38E16836" w14:textId="7309FF81" w:rsidR="00DA011D" w:rsidRPr="00DA011D" w:rsidRDefault="00DA011D" w:rsidP="00DA011D">
      <w:pPr>
        <w:pStyle w:val="KeinLeerraum"/>
        <w:spacing w:after="240"/>
        <w:rPr>
          <w:rFonts w:ascii="Calibri" w:hAnsi="Calibri" w:cs="Calibri"/>
        </w:rPr>
      </w:pPr>
      <w:r w:rsidRPr="00DA011D">
        <w:rPr>
          <w:rFonts w:ascii="Calibri" w:hAnsi="Calibri" w:cs="Calibri"/>
        </w:rPr>
        <w:t xml:space="preserve">Bern, </w:t>
      </w:r>
      <w:r w:rsidRPr="00DA011D">
        <w:rPr>
          <w:rFonts w:ascii="Calibri" w:hAnsi="Calibri" w:cs="Calibri"/>
        </w:rPr>
        <w:t>25</w:t>
      </w:r>
      <w:r w:rsidRPr="00DA011D">
        <w:rPr>
          <w:rFonts w:ascii="Calibri" w:hAnsi="Calibri" w:cs="Calibri"/>
        </w:rPr>
        <w:t xml:space="preserve">. </w:t>
      </w:r>
      <w:r w:rsidRPr="00DA011D">
        <w:rPr>
          <w:rFonts w:ascii="Calibri" w:hAnsi="Calibri" w:cs="Calibri"/>
        </w:rPr>
        <w:t>August</w:t>
      </w:r>
      <w:r w:rsidRPr="00DA011D">
        <w:rPr>
          <w:rFonts w:ascii="Calibri" w:hAnsi="Calibri" w:cs="Calibri"/>
        </w:rPr>
        <w:t xml:space="preserve"> 2026</w:t>
      </w:r>
    </w:p>
    <w:p w14:paraId="3A67A959" w14:textId="77777777" w:rsidR="00DA011D" w:rsidRPr="00DA011D" w:rsidRDefault="00DA011D" w:rsidP="00DA011D">
      <w:pPr>
        <w:pStyle w:val="KeinLeerraum"/>
        <w:spacing w:after="240"/>
        <w:rPr>
          <w:rFonts w:ascii="Calibri" w:hAnsi="Calibri" w:cs="Calibri"/>
          <w:color w:val="45B0E1" w:themeColor="accent1" w:themeTint="99"/>
        </w:rPr>
      </w:pPr>
    </w:p>
    <w:p w14:paraId="44C543AA" w14:textId="350778CD" w:rsidR="00DA011D" w:rsidRPr="00DA011D" w:rsidRDefault="00DA011D" w:rsidP="00DA011D">
      <w:pPr>
        <w:spacing w:after="120"/>
        <w:rPr>
          <w:rFonts w:ascii="Calibri" w:hAnsi="Calibri" w:cs="Calibri"/>
          <w:b/>
          <w:bCs/>
          <w:color w:val="45B0E1" w:themeColor="accent1" w:themeTint="99"/>
          <w:sz w:val="28"/>
          <w:szCs w:val="28"/>
        </w:rPr>
      </w:pPr>
      <w:r w:rsidRPr="00DA011D">
        <w:rPr>
          <w:rFonts w:ascii="Calibri" w:hAnsi="Calibri" w:cs="Calibri"/>
          <w:b/>
          <w:bCs/>
          <w:color w:val="45B0E1" w:themeColor="accent1" w:themeTint="99"/>
          <w:sz w:val="28"/>
          <w:szCs w:val="28"/>
        </w:rPr>
        <w:t>Stellungnahme des Konsumentenforums kf zur Änderung der Verordnung über die Integrität und Transparenz im Heilmittelbereich (VITH) - Erweiterung der Integrität auf Medizinprodukte</w:t>
      </w:r>
    </w:p>
    <w:p w14:paraId="5EC19FE1" w14:textId="77777777" w:rsidR="00DA011D" w:rsidRPr="00DA011D" w:rsidRDefault="00DA011D" w:rsidP="00DA011D">
      <w:pPr>
        <w:spacing w:after="120"/>
        <w:rPr>
          <w:rFonts w:ascii="Calibri" w:hAnsi="Calibri" w:cs="Calibri"/>
        </w:rPr>
      </w:pPr>
    </w:p>
    <w:p w14:paraId="6EE5A4CE" w14:textId="77777777" w:rsidR="00D93885" w:rsidRDefault="00DA011D" w:rsidP="00D93885">
      <w:pPr>
        <w:spacing w:after="0"/>
        <w:rPr>
          <w:rFonts w:ascii="Calibri" w:hAnsi="Calibri" w:cs="Calibri"/>
        </w:rPr>
      </w:pPr>
      <w:r w:rsidRPr="00DA011D">
        <w:rPr>
          <w:rFonts w:ascii="Calibri" w:hAnsi="Calibri" w:cs="Calibri"/>
        </w:rPr>
        <w:t>S</w:t>
      </w:r>
      <w:r w:rsidR="00D93885">
        <w:rPr>
          <w:rFonts w:ascii="Calibri" w:hAnsi="Calibri" w:cs="Calibri"/>
        </w:rPr>
        <w:t>ehr geehrte Frau Bundesrätin Baume-Schneider</w:t>
      </w:r>
    </w:p>
    <w:p w14:paraId="62A84DA3" w14:textId="7AF05FEE" w:rsidR="00DA011D" w:rsidRDefault="00D93885" w:rsidP="00DA011D">
      <w:pPr>
        <w:spacing w:after="120"/>
        <w:rPr>
          <w:rFonts w:ascii="Calibri" w:hAnsi="Calibri" w:cs="Calibri"/>
        </w:rPr>
      </w:pPr>
      <w:r>
        <w:rPr>
          <w:rFonts w:ascii="Calibri" w:hAnsi="Calibri" w:cs="Calibri"/>
        </w:rPr>
        <w:t>S</w:t>
      </w:r>
      <w:r w:rsidR="00DA011D" w:rsidRPr="00DA011D">
        <w:rPr>
          <w:rFonts w:ascii="Calibri" w:hAnsi="Calibri" w:cs="Calibri"/>
        </w:rPr>
        <w:t>ehr geehrte Damen und Herren</w:t>
      </w:r>
    </w:p>
    <w:p w14:paraId="0A93C0C9" w14:textId="77777777" w:rsidR="00D93885" w:rsidRPr="00DA011D" w:rsidRDefault="00D93885" w:rsidP="00DA011D">
      <w:pPr>
        <w:spacing w:after="120"/>
        <w:rPr>
          <w:rFonts w:ascii="Calibri" w:hAnsi="Calibri" w:cs="Calibri"/>
        </w:rPr>
      </w:pPr>
    </w:p>
    <w:p w14:paraId="2BDBD6D8" w14:textId="1DB82BA3" w:rsidR="00DA011D" w:rsidRPr="00DA011D" w:rsidRDefault="00DA011D" w:rsidP="00DA011D">
      <w:pPr>
        <w:spacing w:after="120"/>
        <w:rPr>
          <w:rFonts w:ascii="Calibri" w:hAnsi="Calibri" w:cs="Calibri"/>
        </w:rPr>
      </w:pPr>
      <w:r w:rsidRPr="00DA011D">
        <w:rPr>
          <w:rFonts w:ascii="Calibri" w:hAnsi="Calibri" w:cs="Calibri"/>
        </w:rPr>
        <w:t>Gerne nehmen wir im Interesse der Konsumentinnen und Konsumenten Stellung.</w:t>
      </w:r>
    </w:p>
    <w:p w14:paraId="2BCDE108" w14:textId="77777777" w:rsidR="00DA011D" w:rsidRPr="00DA011D" w:rsidRDefault="00DA011D" w:rsidP="00DA011D">
      <w:pPr>
        <w:spacing w:after="60"/>
        <w:rPr>
          <w:rFonts w:ascii="Calibri" w:hAnsi="Calibri" w:cs="Calibri"/>
          <w:b/>
          <w:bCs/>
          <w:color w:val="45B0E1" w:themeColor="accent1" w:themeTint="99"/>
        </w:rPr>
      </w:pPr>
      <w:r w:rsidRPr="00DA011D">
        <w:rPr>
          <w:rFonts w:ascii="Calibri" w:hAnsi="Calibri" w:cs="Calibri"/>
          <w:b/>
          <w:bCs/>
          <w:color w:val="45B0E1" w:themeColor="accent1" w:themeTint="99"/>
        </w:rPr>
        <w:t>Vorbemerkung Regulierungsziel</w:t>
      </w:r>
    </w:p>
    <w:p w14:paraId="4336CAF4" w14:textId="04E08944" w:rsidR="00DA011D" w:rsidRPr="00DA011D" w:rsidRDefault="00DA011D" w:rsidP="00DA011D">
      <w:pPr>
        <w:spacing w:after="120"/>
        <w:rPr>
          <w:rFonts w:ascii="Calibri" w:hAnsi="Calibri" w:cs="Calibri"/>
        </w:rPr>
      </w:pPr>
      <w:r w:rsidRPr="00DA011D">
        <w:rPr>
          <w:rFonts w:ascii="Calibri" w:hAnsi="Calibri" w:cs="Calibri"/>
        </w:rPr>
        <w:t xml:space="preserve">Die Unterschiede zwischen Arzneimitteln und </w:t>
      </w:r>
      <w:proofErr w:type="spellStart"/>
      <w:r w:rsidRPr="00DA011D">
        <w:rPr>
          <w:rFonts w:ascii="Calibri" w:hAnsi="Calibri" w:cs="Calibri"/>
        </w:rPr>
        <w:t>Medizinaltechnikprodukten</w:t>
      </w:r>
      <w:proofErr w:type="spellEnd"/>
      <w:r w:rsidRPr="00DA011D">
        <w:rPr>
          <w:rFonts w:ascii="Calibri" w:hAnsi="Calibri" w:cs="Calibri"/>
        </w:rPr>
        <w:t xml:space="preserve"> führen zu erheblichen Herausforderungen in der Umsetzung. Und aus den Erfahrungen mit den Werbemassnahmen in Apotheken sollten die richtigen Schlüsse gezogen werden. Die VITH muss schlank und konsequent im Rahmen des Regulierungsziels und Schutzzwecks von Art. 55 und 56 HMG umgesetzt werden und darf nicht mit dem Regulierungsziel und Schutzzweck von Art. 56 KVG vermischt werden. </w:t>
      </w:r>
    </w:p>
    <w:p w14:paraId="2814C98F" w14:textId="77777777" w:rsidR="00DA011D" w:rsidRPr="00DA011D" w:rsidRDefault="00DA011D" w:rsidP="00DA011D">
      <w:pPr>
        <w:spacing w:after="120"/>
        <w:rPr>
          <w:rFonts w:ascii="Calibri" w:hAnsi="Calibri" w:cs="Calibri"/>
          <w:i/>
          <w:iCs/>
        </w:rPr>
      </w:pPr>
      <w:r w:rsidRPr="00DA011D">
        <w:rPr>
          <w:rFonts w:ascii="Calibri" w:hAnsi="Calibri" w:cs="Calibri"/>
        </w:rPr>
        <w:t xml:space="preserve">Im erläuternden Bericht zur Vernehmlassung steht auf Seite 3: </w:t>
      </w:r>
      <w:r w:rsidRPr="00DA011D">
        <w:rPr>
          <w:rFonts w:ascii="Calibri" w:hAnsi="Calibri" w:cs="Calibri"/>
          <w:i/>
          <w:iCs/>
        </w:rPr>
        <w:t>«Diese Bestimmungen verfolgen den Zweck, dass die Verschreibung, Abgabe und Anwendung von verschreibungspflichtigen Arzneimitteln (sowie der diesen Zwecken dienende Einkauf) frei von finanziellen Anreizen bleiben und sich allein an objektiven, medizinischen beziehungsweise pharmazeutischen Gesichtspunkten orientieren. Artikel 55 Absatz 1 HMG hält fest, dass «nicht gebührende Vorteile» grundsätzlich verboten sind. Absatz 2 sieht vier abschliessende Ausnahmen in Form von Zuwendungen vor, die keinen nicht gebührenden Vorteil darstellen.»</w:t>
      </w:r>
    </w:p>
    <w:p w14:paraId="40854166" w14:textId="77777777" w:rsidR="00DA011D" w:rsidRPr="00DA011D" w:rsidRDefault="00DA011D" w:rsidP="00DA011D">
      <w:pPr>
        <w:spacing w:after="120"/>
        <w:rPr>
          <w:rFonts w:ascii="Calibri" w:hAnsi="Calibri" w:cs="Calibri"/>
        </w:rPr>
      </w:pPr>
      <w:r w:rsidRPr="00DA011D">
        <w:rPr>
          <w:rFonts w:ascii="Calibri" w:hAnsi="Calibri" w:cs="Calibri"/>
        </w:rPr>
        <w:t>Die Bestimmungen über Integrität und Transparenz im HMG verfolgen vom Schutzzweck her eindeutig ein gesundheitspolizeiliches Ziel: Die Wahl der Behandlung soll nur aufgrund wissenschaftlicher und objektiver Kriterien erfolgen und nicht durch ungebührende wirtschaftliche Vorteile beeinflusst werden.</w:t>
      </w:r>
    </w:p>
    <w:p w14:paraId="532AC6B6" w14:textId="78879933" w:rsidR="00DA011D" w:rsidRPr="00DA011D" w:rsidRDefault="00DA011D" w:rsidP="00DA011D">
      <w:pPr>
        <w:spacing w:after="120"/>
        <w:rPr>
          <w:rFonts w:ascii="Calibri" w:hAnsi="Calibri" w:cs="Calibri"/>
        </w:rPr>
      </w:pPr>
      <w:r w:rsidRPr="00DA011D">
        <w:rPr>
          <w:rFonts w:ascii="Calibri" w:hAnsi="Calibri" w:cs="Calibri"/>
        </w:rPr>
        <w:t xml:space="preserve">Die VITH konkretisiert Art. 55 und 56 HMG; ihr Zweck ist nicht die Kostendämpfung gemäss KVG, </w:t>
      </w:r>
      <w:proofErr w:type="spellStart"/>
      <w:r w:rsidRPr="00DA011D">
        <w:rPr>
          <w:rFonts w:ascii="Calibri" w:hAnsi="Calibri" w:cs="Calibri"/>
        </w:rPr>
        <w:t>son</w:t>
      </w:r>
      <w:r w:rsidR="00D93885">
        <w:rPr>
          <w:rFonts w:ascii="Calibri" w:hAnsi="Calibri" w:cs="Calibri"/>
        </w:rPr>
        <w:t>-</w:t>
      </w:r>
      <w:r w:rsidRPr="00DA011D">
        <w:rPr>
          <w:rFonts w:ascii="Calibri" w:hAnsi="Calibri" w:cs="Calibri"/>
        </w:rPr>
        <w:t>dern</w:t>
      </w:r>
      <w:proofErr w:type="spellEnd"/>
      <w:r w:rsidRPr="00DA011D">
        <w:rPr>
          <w:rFonts w:ascii="Calibri" w:hAnsi="Calibri" w:cs="Calibri"/>
        </w:rPr>
        <w:t xml:space="preserve"> ein gesundheitspolizeilicher Schutz der sachgerechten Heilmittel- und Behandlungswahl. Relevant hierfür sind zwei Aspekte: Integrität und Transparenz, wobei die Transparenz in Bezug auf die </w:t>
      </w:r>
      <w:proofErr w:type="spellStart"/>
      <w:r w:rsidRPr="00DA011D">
        <w:rPr>
          <w:rFonts w:ascii="Calibri" w:hAnsi="Calibri" w:cs="Calibri"/>
        </w:rPr>
        <w:t>relevan</w:t>
      </w:r>
      <w:r w:rsidR="00D93885">
        <w:rPr>
          <w:rFonts w:ascii="Calibri" w:hAnsi="Calibri" w:cs="Calibri"/>
        </w:rPr>
        <w:t>-</w:t>
      </w:r>
      <w:r w:rsidRPr="00DA011D">
        <w:rPr>
          <w:rFonts w:ascii="Calibri" w:hAnsi="Calibri" w:cs="Calibri"/>
        </w:rPr>
        <w:t>ten</w:t>
      </w:r>
      <w:proofErr w:type="spellEnd"/>
      <w:r w:rsidRPr="00DA011D">
        <w:rPr>
          <w:rFonts w:ascii="Calibri" w:hAnsi="Calibri" w:cs="Calibri"/>
        </w:rPr>
        <w:t xml:space="preserve"> Preise bei Produkten der Medizinaltechnik eine entscheidende Herausforderung sein wird. </w:t>
      </w:r>
    </w:p>
    <w:p w14:paraId="2B161A19" w14:textId="77777777" w:rsidR="00DA011D" w:rsidRPr="00DA011D" w:rsidRDefault="00DA011D" w:rsidP="00DA011D">
      <w:pPr>
        <w:spacing w:after="120"/>
        <w:rPr>
          <w:rFonts w:ascii="Calibri" w:hAnsi="Calibri" w:cs="Calibri"/>
          <w:i/>
          <w:iCs/>
        </w:rPr>
      </w:pPr>
      <w:r w:rsidRPr="00DA011D">
        <w:rPr>
          <w:rFonts w:ascii="Calibri" w:hAnsi="Calibri" w:cs="Calibri"/>
          <w:i/>
          <w:iCs/>
        </w:rPr>
        <w:t xml:space="preserve">Der Schutzzweck wird durch die vierte Ausnahme in Absatz 2 von Art. 55 HMG deutlich gemacht: </w:t>
      </w:r>
    </w:p>
    <w:p w14:paraId="09F3ECBB" w14:textId="77777777" w:rsidR="00DA011D" w:rsidRPr="00DA011D" w:rsidRDefault="00DA011D" w:rsidP="00DA011D">
      <w:pPr>
        <w:spacing w:after="120"/>
        <w:rPr>
          <w:rFonts w:ascii="Calibri" w:hAnsi="Calibri" w:cs="Calibri"/>
          <w:i/>
          <w:iCs/>
        </w:rPr>
      </w:pPr>
      <w:r w:rsidRPr="00DA011D">
        <w:rPr>
          <w:rFonts w:ascii="Calibri" w:hAnsi="Calibri" w:cs="Calibri"/>
          <w:i/>
          <w:iCs/>
          <w:vertAlign w:val="superscript"/>
        </w:rPr>
        <w:t>«</w:t>
      </w:r>
      <w:proofErr w:type="spellStart"/>
      <w:r w:rsidRPr="00DA011D">
        <w:rPr>
          <w:rFonts w:ascii="Calibri" w:hAnsi="Calibri" w:cs="Calibri"/>
          <w:i/>
          <w:iCs/>
          <w:vertAlign w:val="superscript"/>
        </w:rPr>
        <w:t>2</w:t>
      </w:r>
      <w:r w:rsidRPr="00DA011D">
        <w:rPr>
          <w:rFonts w:ascii="Calibri" w:hAnsi="Calibri" w:cs="Calibri"/>
          <w:i/>
          <w:iCs/>
        </w:rPr>
        <w:t>Keine</w:t>
      </w:r>
      <w:proofErr w:type="spellEnd"/>
      <w:r w:rsidRPr="00DA011D">
        <w:rPr>
          <w:rFonts w:ascii="Calibri" w:hAnsi="Calibri" w:cs="Calibri"/>
          <w:i/>
          <w:iCs/>
        </w:rPr>
        <w:t xml:space="preserve"> nicht gebührenden Vorteile sind: (…)</w:t>
      </w:r>
    </w:p>
    <w:p w14:paraId="6DCD6586" w14:textId="77777777" w:rsidR="00DA011D" w:rsidRPr="00DA011D" w:rsidRDefault="00DA011D" w:rsidP="00DA011D">
      <w:pPr>
        <w:spacing w:after="120"/>
        <w:rPr>
          <w:rFonts w:ascii="Calibri" w:hAnsi="Calibri" w:cs="Calibri"/>
          <w:i/>
          <w:iCs/>
        </w:rPr>
      </w:pPr>
      <w:r w:rsidRPr="00DA011D">
        <w:rPr>
          <w:rFonts w:ascii="Calibri" w:hAnsi="Calibri" w:cs="Calibri"/>
          <w:i/>
          <w:iCs/>
        </w:rPr>
        <w:lastRenderedPageBreak/>
        <w:t>d. beim Heilmitteleinkauf gewährte Preisrabatte oder Rückvergütungen, sofern sie keinen Einfluss auf die Wahl der Behandlung haben.»</w:t>
      </w:r>
    </w:p>
    <w:p w14:paraId="7BBCAA3B" w14:textId="050D40A1" w:rsidR="00DA011D" w:rsidRPr="00DA011D" w:rsidRDefault="00DA011D" w:rsidP="00DA011D">
      <w:pPr>
        <w:spacing w:after="120"/>
        <w:rPr>
          <w:rFonts w:ascii="Calibri" w:hAnsi="Calibri" w:cs="Calibri"/>
        </w:rPr>
      </w:pPr>
      <w:r w:rsidRPr="00DA011D">
        <w:rPr>
          <w:rFonts w:ascii="Calibri" w:hAnsi="Calibri" w:cs="Calibri"/>
        </w:rPr>
        <w:t xml:space="preserve">Diese sehr offene Formulierung ist absolut entscheidend und enthält immensen Auslegungsspielraum. Bei der Integration von </w:t>
      </w:r>
      <w:proofErr w:type="spellStart"/>
      <w:r w:rsidRPr="00DA011D">
        <w:rPr>
          <w:rFonts w:ascii="Calibri" w:hAnsi="Calibri" w:cs="Calibri"/>
        </w:rPr>
        <w:t>Medizinalprodukten</w:t>
      </w:r>
      <w:proofErr w:type="spellEnd"/>
      <w:r w:rsidRPr="00DA011D">
        <w:rPr>
          <w:rFonts w:ascii="Calibri" w:hAnsi="Calibri" w:cs="Calibri"/>
        </w:rPr>
        <w:t xml:space="preserve"> ist deshalb eine strikte Auslegung im Interesse des </w:t>
      </w:r>
      <w:proofErr w:type="spellStart"/>
      <w:r w:rsidRPr="00DA011D">
        <w:rPr>
          <w:rFonts w:ascii="Calibri" w:hAnsi="Calibri" w:cs="Calibri"/>
        </w:rPr>
        <w:t>Patien</w:t>
      </w:r>
      <w:r w:rsidR="00D93885">
        <w:rPr>
          <w:rFonts w:ascii="Calibri" w:hAnsi="Calibri" w:cs="Calibri"/>
        </w:rPr>
        <w:t>-</w:t>
      </w:r>
      <w:r w:rsidRPr="00DA011D">
        <w:rPr>
          <w:rFonts w:ascii="Calibri" w:hAnsi="Calibri" w:cs="Calibri"/>
        </w:rPr>
        <w:t>tenschutzes</w:t>
      </w:r>
      <w:proofErr w:type="spellEnd"/>
      <w:r w:rsidRPr="00DA011D">
        <w:rPr>
          <w:rFonts w:ascii="Calibri" w:hAnsi="Calibri" w:cs="Calibri"/>
        </w:rPr>
        <w:t xml:space="preserve"> vorzunehmen. </w:t>
      </w:r>
    </w:p>
    <w:p w14:paraId="7548E37A" w14:textId="35BAAB3C" w:rsidR="00DA011D" w:rsidRPr="00DA011D" w:rsidRDefault="00DA011D" w:rsidP="00DA011D">
      <w:pPr>
        <w:spacing w:after="120"/>
        <w:rPr>
          <w:rFonts w:ascii="Calibri" w:hAnsi="Calibri" w:cs="Calibri"/>
        </w:rPr>
      </w:pPr>
      <w:r w:rsidRPr="00DA011D">
        <w:rPr>
          <w:rFonts w:ascii="Calibri" w:hAnsi="Calibri" w:cs="Calibri"/>
        </w:rPr>
        <w:t>Dies bedeutet im Klartext, dass selbst hohe Rabatte gemäss VITH zulässig sind, sofern sie keinen Einfluss auf die Wahl der Behandlung respektive der eingekauften Medical Devices haben. Wie Rabatte oder andere geldwerte Leistungen via Krankenversicherer an die Versicherten weiterzugeben sind, regelt das KVG.</w:t>
      </w:r>
    </w:p>
    <w:p w14:paraId="5D58657E" w14:textId="5547F057" w:rsidR="00DA011D" w:rsidRPr="00DA011D" w:rsidRDefault="00DA011D" w:rsidP="00DA011D">
      <w:pPr>
        <w:spacing w:after="120"/>
        <w:rPr>
          <w:rFonts w:ascii="Calibri" w:hAnsi="Calibri" w:cs="Calibri"/>
        </w:rPr>
      </w:pPr>
      <w:r w:rsidRPr="00DA011D">
        <w:rPr>
          <w:rFonts w:ascii="Calibri" w:hAnsi="Calibri" w:cs="Calibri"/>
        </w:rPr>
        <w:t xml:space="preserve">Leider enthält der erläuternde Bericht hierzu keine Aussagen: Im Abschnitt 3.7 «Ausnahmen» wird diese äusserst relevante Bestimmung mit keinem Wort erwähnt, womit keinerlei Anhaltspunkte für deren beabsichtigte Auslegung im Bereich der Medizinaltechnik bestehen. </w:t>
      </w:r>
    </w:p>
    <w:p w14:paraId="1385334A" w14:textId="687500C8" w:rsidR="00DA011D" w:rsidRPr="00B44DFA" w:rsidRDefault="00DA011D" w:rsidP="00DA011D">
      <w:pPr>
        <w:spacing w:after="120"/>
        <w:rPr>
          <w:rFonts w:ascii="Calibri" w:hAnsi="Calibri" w:cs="Calibri"/>
        </w:rPr>
      </w:pPr>
      <w:r w:rsidRPr="00DA011D">
        <w:rPr>
          <w:rFonts w:ascii="Calibri" w:hAnsi="Calibri" w:cs="Calibri"/>
        </w:rPr>
        <w:t xml:space="preserve">Angesichts der aktuellen Unstimmigkeiten zwischen BAG, Apothekerschaft und Industrie betreffend Werbemassnahmen im Arzneimittelbereich ist es notwendig, hier via den erläuternden Bericht </w:t>
      </w:r>
      <w:proofErr w:type="spellStart"/>
      <w:r w:rsidRPr="00DA011D">
        <w:rPr>
          <w:rFonts w:ascii="Calibri" w:hAnsi="Calibri" w:cs="Calibri"/>
        </w:rPr>
        <w:t>Ausfüh</w:t>
      </w:r>
      <w:proofErr w:type="spellEnd"/>
      <w:r w:rsidR="00D93885">
        <w:rPr>
          <w:rFonts w:ascii="Calibri" w:hAnsi="Calibri" w:cs="Calibri"/>
        </w:rPr>
        <w:t>-</w:t>
      </w:r>
      <w:r w:rsidRPr="00DA011D">
        <w:rPr>
          <w:rFonts w:ascii="Calibri" w:hAnsi="Calibri" w:cs="Calibri"/>
        </w:rPr>
        <w:t>rungen zur Rechtsanwendung zu machen und damit Rechtssicherheit zu schaffen.</w:t>
      </w:r>
    </w:p>
    <w:p w14:paraId="780D49F0" w14:textId="77777777" w:rsidR="00DA011D" w:rsidRPr="00DA011D" w:rsidRDefault="00DA011D" w:rsidP="00B44DFA">
      <w:pPr>
        <w:spacing w:after="60"/>
        <w:rPr>
          <w:rFonts w:ascii="Calibri" w:hAnsi="Calibri" w:cs="Calibri"/>
          <w:b/>
          <w:bCs/>
        </w:rPr>
      </w:pPr>
      <w:r w:rsidRPr="00DA011D">
        <w:rPr>
          <w:rFonts w:ascii="Calibri" w:hAnsi="Calibri" w:cs="Calibri"/>
          <w:b/>
          <w:bCs/>
        </w:rPr>
        <w:t xml:space="preserve">Differenz zu Art. 56 KVG beachten </w:t>
      </w:r>
    </w:p>
    <w:p w14:paraId="47C36702" w14:textId="14546398" w:rsidR="00DA011D" w:rsidRPr="00DA011D" w:rsidRDefault="00DA011D" w:rsidP="00DA011D">
      <w:pPr>
        <w:spacing w:after="120"/>
        <w:rPr>
          <w:rFonts w:ascii="Calibri" w:hAnsi="Calibri" w:cs="Calibri"/>
        </w:rPr>
      </w:pPr>
      <w:r w:rsidRPr="00DA011D">
        <w:rPr>
          <w:rFonts w:ascii="Calibri" w:hAnsi="Calibri" w:cs="Calibri"/>
        </w:rPr>
        <w:t>Wie oben dargelegt, ist der Schutzzweck von Art. 55 / 56 HMG gesundheitspolizeilicher Natur. Dem</w:t>
      </w:r>
      <w:r w:rsidR="00D93885">
        <w:rPr>
          <w:rFonts w:ascii="Calibri" w:hAnsi="Calibri" w:cs="Calibri"/>
        </w:rPr>
        <w:t>-</w:t>
      </w:r>
      <w:r w:rsidRPr="00DA011D">
        <w:rPr>
          <w:rFonts w:ascii="Calibri" w:hAnsi="Calibri" w:cs="Calibri"/>
        </w:rPr>
        <w:t xml:space="preserve">gegenüber soll die </w:t>
      </w:r>
      <w:proofErr w:type="spellStart"/>
      <w:r w:rsidRPr="00DA011D">
        <w:rPr>
          <w:rFonts w:ascii="Calibri" w:hAnsi="Calibri" w:cs="Calibri"/>
        </w:rPr>
        <w:t>Weitergabepflicht</w:t>
      </w:r>
      <w:proofErr w:type="spellEnd"/>
      <w:r w:rsidRPr="00DA011D">
        <w:rPr>
          <w:rFonts w:ascii="Calibri" w:hAnsi="Calibri" w:cs="Calibri"/>
        </w:rPr>
        <w:t xml:space="preserve"> von Vergünstigungen in Art. 56 KVG die Kosten der von der OKP finanzierten Leistungen dämpfen und hat keinen Korruptions- oder Integritätsschutzzweck.</w:t>
      </w:r>
    </w:p>
    <w:p w14:paraId="5682DF2B" w14:textId="772DFAFC" w:rsidR="00DA011D" w:rsidRPr="00DA011D" w:rsidRDefault="00DA011D" w:rsidP="00DA011D">
      <w:pPr>
        <w:spacing w:after="120"/>
        <w:rPr>
          <w:rFonts w:ascii="Calibri" w:hAnsi="Calibri" w:cs="Calibri"/>
        </w:rPr>
      </w:pPr>
      <w:r w:rsidRPr="00DA011D">
        <w:rPr>
          <w:rFonts w:ascii="Calibri" w:hAnsi="Calibri" w:cs="Calibri"/>
        </w:rPr>
        <w:t xml:space="preserve">Gemäss Art. 55 Abs. 2 </w:t>
      </w:r>
      <w:proofErr w:type="spellStart"/>
      <w:r w:rsidRPr="00DA011D">
        <w:rPr>
          <w:rFonts w:ascii="Calibri" w:hAnsi="Calibri" w:cs="Calibri"/>
        </w:rPr>
        <w:t>lit</w:t>
      </w:r>
      <w:proofErr w:type="spellEnd"/>
      <w:r w:rsidRPr="00DA011D">
        <w:rPr>
          <w:rFonts w:ascii="Calibri" w:hAnsi="Calibri" w:cs="Calibri"/>
        </w:rPr>
        <w:t xml:space="preserve">. d HMG sind Rabatte zulässig, solange sie die Wahl der Behandlung nicht </w:t>
      </w:r>
      <w:proofErr w:type="spellStart"/>
      <w:r w:rsidRPr="00DA011D">
        <w:rPr>
          <w:rFonts w:ascii="Calibri" w:hAnsi="Calibri" w:cs="Calibri"/>
        </w:rPr>
        <w:t>beein</w:t>
      </w:r>
      <w:r w:rsidR="00B44DFA">
        <w:rPr>
          <w:rFonts w:ascii="Calibri" w:hAnsi="Calibri" w:cs="Calibri"/>
        </w:rPr>
        <w:t>-</w:t>
      </w:r>
      <w:r w:rsidRPr="00DA011D">
        <w:rPr>
          <w:rFonts w:ascii="Calibri" w:hAnsi="Calibri" w:cs="Calibri"/>
        </w:rPr>
        <w:t>flussen</w:t>
      </w:r>
      <w:proofErr w:type="spellEnd"/>
      <w:r w:rsidRPr="00DA011D">
        <w:rPr>
          <w:rFonts w:ascii="Calibri" w:hAnsi="Calibri" w:cs="Calibri"/>
        </w:rPr>
        <w:t>. Es geht also nicht um die Regulierung des Wettbewerbs zwischen Heilmittelanbietern oder die Sicherung bestimmter Marktpreise.</w:t>
      </w:r>
    </w:p>
    <w:p w14:paraId="39A1424F" w14:textId="6F96D055" w:rsidR="00DA011D" w:rsidRPr="00DA011D" w:rsidRDefault="00DA011D" w:rsidP="00DA011D">
      <w:pPr>
        <w:spacing w:after="120"/>
        <w:rPr>
          <w:rFonts w:ascii="Calibri" w:hAnsi="Calibri" w:cs="Calibri"/>
        </w:rPr>
      </w:pPr>
      <w:r w:rsidRPr="00DA011D">
        <w:rPr>
          <w:rFonts w:ascii="Calibri" w:hAnsi="Calibri" w:cs="Calibri"/>
        </w:rPr>
        <w:t xml:space="preserve">Bei Medizinprodukten könnte muss die Frage gestellt werden, ob hohe Rabatte auf Medizinprodukte problematisch sind, wenn sie keinerlei Einfluss auf die Wahl der Behandlung haben. Der Schutzzweck von Art. 55 Abs. 2 </w:t>
      </w:r>
      <w:proofErr w:type="spellStart"/>
      <w:r w:rsidRPr="00DA011D">
        <w:rPr>
          <w:rFonts w:ascii="Calibri" w:hAnsi="Calibri" w:cs="Calibri"/>
        </w:rPr>
        <w:t>lit</w:t>
      </w:r>
      <w:proofErr w:type="spellEnd"/>
      <w:r w:rsidRPr="00DA011D">
        <w:rPr>
          <w:rFonts w:ascii="Calibri" w:hAnsi="Calibri" w:cs="Calibri"/>
        </w:rPr>
        <w:t>. d HMG spricht dafür, zwischen wirtschaftlichem Preiswettbewerb und unzulässiger Beeinflussung der Behandlung zu unterscheiden.</w:t>
      </w:r>
    </w:p>
    <w:p w14:paraId="27375153" w14:textId="2159D408" w:rsidR="00DA011D" w:rsidRPr="00B44DFA" w:rsidRDefault="00DA011D" w:rsidP="00DA011D">
      <w:pPr>
        <w:spacing w:after="120"/>
        <w:rPr>
          <w:rFonts w:ascii="Calibri" w:hAnsi="Calibri" w:cs="Calibri"/>
        </w:rPr>
      </w:pPr>
      <w:r w:rsidRPr="00DA011D">
        <w:rPr>
          <w:rFonts w:ascii="Calibri" w:hAnsi="Calibri" w:cs="Calibri"/>
        </w:rPr>
        <w:t xml:space="preserve">Die aktuelle politische Diskussion über die Weitergabe von Rabatten gestützt auf den Bericht der </w:t>
      </w:r>
      <w:proofErr w:type="spellStart"/>
      <w:r w:rsidRPr="00DA011D">
        <w:rPr>
          <w:rFonts w:ascii="Calibri" w:hAnsi="Calibri" w:cs="Calibri"/>
        </w:rPr>
        <w:t>Eidge</w:t>
      </w:r>
      <w:r w:rsidR="00D93885">
        <w:rPr>
          <w:rFonts w:ascii="Calibri" w:hAnsi="Calibri" w:cs="Calibri"/>
        </w:rPr>
        <w:t>-</w:t>
      </w:r>
      <w:r w:rsidRPr="00DA011D">
        <w:rPr>
          <w:rFonts w:ascii="Calibri" w:hAnsi="Calibri" w:cs="Calibri"/>
        </w:rPr>
        <w:t>nössischen</w:t>
      </w:r>
      <w:proofErr w:type="spellEnd"/>
      <w:r w:rsidRPr="00DA011D">
        <w:rPr>
          <w:rFonts w:ascii="Calibri" w:hAnsi="Calibri" w:cs="Calibri"/>
        </w:rPr>
        <w:t xml:space="preserve"> Finanzkontrolle (EFK) ist von der VITH zu trennen. </w:t>
      </w:r>
    </w:p>
    <w:p w14:paraId="1037B280" w14:textId="77777777" w:rsidR="00DA011D" w:rsidRPr="00DA011D" w:rsidRDefault="00DA011D" w:rsidP="00B44DFA">
      <w:pPr>
        <w:spacing w:after="60"/>
        <w:rPr>
          <w:rFonts w:ascii="Calibri" w:hAnsi="Calibri" w:cs="Calibri"/>
          <w:b/>
          <w:bCs/>
        </w:rPr>
      </w:pPr>
      <w:r w:rsidRPr="00DA011D">
        <w:rPr>
          <w:rFonts w:ascii="Calibri" w:hAnsi="Calibri" w:cs="Calibri"/>
          <w:b/>
          <w:bCs/>
        </w:rPr>
        <w:t xml:space="preserve">Preisbildung bei Arzneimitteln und </w:t>
      </w:r>
      <w:proofErr w:type="spellStart"/>
      <w:r w:rsidRPr="00DA011D">
        <w:rPr>
          <w:rFonts w:ascii="Calibri" w:hAnsi="Calibri" w:cs="Calibri"/>
          <w:b/>
          <w:bCs/>
        </w:rPr>
        <w:t>Medizinaltechnikprodukten</w:t>
      </w:r>
      <w:proofErr w:type="spellEnd"/>
    </w:p>
    <w:p w14:paraId="58ADEEDD" w14:textId="51FBC3A6" w:rsidR="00DA011D" w:rsidRPr="00B44DFA" w:rsidRDefault="00DA011D" w:rsidP="00DA011D">
      <w:pPr>
        <w:spacing w:after="120"/>
        <w:rPr>
          <w:rFonts w:ascii="Calibri" w:hAnsi="Calibri" w:cs="Calibri"/>
        </w:rPr>
      </w:pPr>
      <w:r w:rsidRPr="00DA011D">
        <w:rPr>
          <w:rFonts w:ascii="Calibri" w:hAnsi="Calibri" w:cs="Calibri"/>
        </w:rPr>
        <w:t>Die Preise der kassenpflichtigen Arzneimittel werden vom BAG festgesetzt. Die Preise von Medizinal</w:t>
      </w:r>
      <w:r w:rsidR="00B44DFA">
        <w:rPr>
          <w:rFonts w:ascii="Calibri" w:hAnsi="Calibri" w:cs="Calibri"/>
        </w:rPr>
        <w:t>-</w:t>
      </w:r>
      <w:proofErr w:type="spellStart"/>
      <w:r w:rsidRPr="00DA011D">
        <w:rPr>
          <w:rFonts w:ascii="Calibri" w:hAnsi="Calibri" w:cs="Calibri"/>
        </w:rPr>
        <w:t>technikprodukten</w:t>
      </w:r>
      <w:proofErr w:type="spellEnd"/>
      <w:r w:rsidRPr="00DA011D">
        <w:rPr>
          <w:rFonts w:ascii="Calibri" w:hAnsi="Calibri" w:cs="Calibri"/>
        </w:rPr>
        <w:t xml:space="preserve"> sind Marktpreise. Es geht also nicht, durch mit Verordnungsbestimmungen durch die Hintertür auch die Preise der </w:t>
      </w:r>
      <w:proofErr w:type="spellStart"/>
      <w:r w:rsidRPr="00DA011D">
        <w:rPr>
          <w:rFonts w:ascii="Calibri" w:hAnsi="Calibri" w:cs="Calibri"/>
        </w:rPr>
        <w:t>Medizinaltechnikprodukte</w:t>
      </w:r>
      <w:proofErr w:type="spellEnd"/>
      <w:r w:rsidRPr="00DA011D">
        <w:rPr>
          <w:rFonts w:ascii="Calibri" w:hAnsi="Calibri" w:cs="Calibri"/>
        </w:rPr>
        <w:t xml:space="preserve"> staatlich festzulegen, um die relevanten Preise zu ermitteln. Wir verweisen auf den Preisüberwacher, der immer wieder darauf hinweist, dass ein funktionierende Wettbewerb der beste Preisüberwacher ist.</w:t>
      </w:r>
    </w:p>
    <w:p w14:paraId="23B17266" w14:textId="77777777" w:rsidR="00DA011D" w:rsidRPr="00D93885" w:rsidRDefault="00DA011D" w:rsidP="00B44DFA">
      <w:pPr>
        <w:spacing w:after="60"/>
        <w:rPr>
          <w:rFonts w:ascii="Calibri" w:hAnsi="Calibri" w:cs="Calibri"/>
          <w:b/>
          <w:bCs/>
          <w:color w:val="45B0E1" w:themeColor="accent1" w:themeTint="99"/>
        </w:rPr>
      </w:pPr>
      <w:r w:rsidRPr="00D93885">
        <w:rPr>
          <w:rFonts w:ascii="Calibri" w:hAnsi="Calibri" w:cs="Calibri"/>
          <w:b/>
          <w:bCs/>
          <w:color w:val="45B0E1" w:themeColor="accent1" w:themeTint="99"/>
        </w:rPr>
        <w:t>Fazit</w:t>
      </w:r>
    </w:p>
    <w:p w14:paraId="31FF37C5" w14:textId="0E27F4BA" w:rsidR="00DA011D" w:rsidRPr="00DA011D" w:rsidRDefault="00DA011D" w:rsidP="00DA011D">
      <w:pPr>
        <w:spacing w:after="120"/>
        <w:rPr>
          <w:rFonts w:ascii="Calibri" w:hAnsi="Calibri" w:cs="Calibri"/>
        </w:rPr>
      </w:pPr>
      <w:r w:rsidRPr="00DA011D">
        <w:rPr>
          <w:rFonts w:ascii="Calibri" w:hAnsi="Calibri" w:cs="Calibri"/>
        </w:rPr>
        <w:t xml:space="preserve">Für eine technische Umsetzung auf Verordnungsebene stehen zu viele, sehr offene Formulierungen sowohl im Verordnungstext als auch im erläuternden Bericht, insbesondere zur Ermittlung der </w:t>
      </w:r>
      <w:proofErr w:type="spellStart"/>
      <w:r w:rsidRPr="00DA011D">
        <w:rPr>
          <w:rFonts w:ascii="Calibri" w:hAnsi="Calibri" w:cs="Calibri"/>
        </w:rPr>
        <w:t>relevan</w:t>
      </w:r>
      <w:r w:rsidR="00D93885">
        <w:rPr>
          <w:rFonts w:ascii="Calibri" w:hAnsi="Calibri" w:cs="Calibri"/>
        </w:rPr>
        <w:t>-</w:t>
      </w:r>
      <w:r w:rsidRPr="00DA011D">
        <w:rPr>
          <w:rFonts w:ascii="Calibri" w:hAnsi="Calibri" w:cs="Calibri"/>
        </w:rPr>
        <w:t>ten</w:t>
      </w:r>
      <w:proofErr w:type="spellEnd"/>
      <w:r w:rsidRPr="00DA011D">
        <w:rPr>
          <w:rFonts w:ascii="Calibri" w:hAnsi="Calibri" w:cs="Calibri"/>
        </w:rPr>
        <w:t xml:space="preserve"> Preise bei Produkten der Medizinaltechnik. Im erläuternden Bericht fehlen relevante Ausführungen insbesondere zur Handhabung von Ausnahmen im Sinne von Art. 55 Abs. 2 </w:t>
      </w:r>
      <w:proofErr w:type="spellStart"/>
      <w:r w:rsidRPr="00DA011D">
        <w:rPr>
          <w:rFonts w:ascii="Calibri" w:hAnsi="Calibri" w:cs="Calibri"/>
        </w:rPr>
        <w:t>lit</w:t>
      </w:r>
      <w:proofErr w:type="spellEnd"/>
      <w:r w:rsidRPr="00DA011D">
        <w:rPr>
          <w:rFonts w:ascii="Calibri" w:hAnsi="Calibri" w:cs="Calibri"/>
        </w:rPr>
        <w:t>. d. HMG bei Produkten der Medizinaltechnik.</w:t>
      </w:r>
    </w:p>
    <w:p w14:paraId="754E0ADA" w14:textId="59FA9B7F" w:rsidR="00DA011D" w:rsidRPr="00DA011D" w:rsidRDefault="00DA011D" w:rsidP="00DA011D">
      <w:pPr>
        <w:spacing w:after="120"/>
        <w:rPr>
          <w:rFonts w:ascii="Calibri" w:hAnsi="Calibri" w:cs="Calibri"/>
        </w:rPr>
      </w:pPr>
      <w:r w:rsidRPr="00DA011D">
        <w:rPr>
          <w:rFonts w:ascii="Calibri" w:hAnsi="Calibri" w:cs="Calibri"/>
        </w:rPr>
        <w:t>Diese Mängel schaffen vor allem Rechtsunsicherheit und werden Rechtsstreitigkeiten provozieren, die mit präziseren Verordnungsbestimmungen vermieden werden müssen. Die Ausweitung des Geltungs</w:t>
      </w:r>
      <w:r w:rsidR="00D93885">
        <w:rPr>
          <w:rFonts w:ascii="Calibri" w:hAnsi="Calibri" w:cs="Calibri"/>
        </w:rPr>
        <w:t>-</w:t>
      </w:r>
      <w:r w:rsidRPr="00DA011D">
        <w:rPr>
          <w:rFonts w:ascii="Calibri" w:hAnsi="Calibri" w:cs="Calibri"/>
        </w:rPr>
        <w:lastRenderedPageBreak/>
        <w:t xml:space="preserve">bereiches der VITH auf </w:t>
      </w:r>
      <w:proofErr w:type="spellStart"/>
      <w:r w:rsidRPr="00DA011D">
        <w:rPr>
          <w:rFonts w:ascii="Calibri" w:hAnsi="Calibri" w:cs="Calibri"/>
        </w:rPr>
        <w:t>Medizinaltechnikprodukte</w:t>
      </w:r>
      <w:proofErr w:type="spellEnd"/>
      <w:r w:rsidRPr="00DA011D">
        <w:rPr>
          <w:rFonts w:ascii="Calibri" w:hAnsi="Calibri" w:cs="Calibri"/>
        </w:rPr>
        <w:t xml:space="preserve"> ist eine grosse Herausforderung. Die Verordnungsbestimmungen dürfen nicht über das Regulierungsziel und den Schutzzweck von Art. 55 / 56 HMG hinausgehen. Eine Vermischung mit Art. 56 KVG ist zu vermeiden. </w:t>
      </w:r>
    </w:p>
    <w:p w14:paraId="6FDF923F" w14:textId="6EF38347" w:rsidR="00DA011D" w:rsidRPr="00B44DFA" w:rsidRDefault="00DA011D" w:rsidP="00DA011D">
      <w:pPr>
        <w:spacing w:after="120"/>
        <w:rPr>
          <w:rFonts w:ascii="Calibri" w:hAnsi="Calibri" w:cs="Calibri"/>
          <w:b/>
          <w:bCs/>
          <w:color w:val="45B0E1" w:themeColor="accent1" w:themeTint="99"/>
        </w:rPr>
      </w:pPr>
      <w:r w:rsidRPr="00B44DFA">
        <w:rPr>
          <w:rFonts w:ascii="Calibri" w:hAnsi="Calibri" w:cs="Calibri"/>
          <w:b/>
          <w:bCs/>
          <w:color w:val="45B0E1" w:themeColor="accent1" w:themeTint="99"/>
        </w:rPr>
        <w:t>Wir beantragen die Übera</w:t>
      </w:r>
      <w:r w:rsidR="00B44DFA">
        <w:rPr>
          <w:rFonts w:ascii="Calibri" w:hAnsi="Calibri" w:cs="Calibri"/>
          <w:b/>
          <w:bCs/>
          <w:color w:val="45B0E1" w:themeColor="accent1" w:themeTint="99"/>
        </w:rPr>
        <w:t>r</w:t>
      </w:r>
      <w:r w:rsidRPr="00B44DFA">
        <w:rPr>
          <w:rFonts w:ascii="Calibri" w:hAnsi="Calibri" w:cs="Calibri"/>
          <w:b/>
          <w:bCs/>
          <w:color w:val="45B0E1" w:themeColor="accent1" w:themeTint="99"/>
        </w:rPr>
        <w:t xml:space="preserve">beitung des Verordnungstextes und der Erläuterungen. </w:t>
      </w:r>
    </w:p>
    <w:p w14:paraId="22AA00F5" w14:textId="77777777" w:rsidR="00B44DFA" w:rsidRPr="00DA011D" w:rsidRDefault="00B44DFA" w:rsidP="00DA011D">
      <w:pPr>
        <w:spacing w:after="120"/>
        <w:rPr>
          <w:rFonts w:ascii="Calibri" w:hAnsi="Calibri" w:cs="Calibri"/>
        </w:rPr>
      </w:pPr>
    </w:p>
    <w:p w14:paraId="6EFA7684" w14:textId="77777777" w:rsidR="00DA011D" w:rsidRPr="00DA011D" w:rsidRDefault="00DA011D" w:rsidP="00DA011D">
      <w:pPr>
        <w:spacing w:after="120"/>
        <w:rPr>
          <w:rFonts w:ascii="Calibri" w:hAnsi="Calibri" w:cs="Calibri"/>
        </w:rPr>
      </w:pPr>
      <w:r w:rsidRPr="00DA011D">
        <w:rPr>
          <w:rFonts w:ascii="Calibri" w:hAnsi="Calibri" w:cs="Calibri"/>
        </w:rPr>
        <w:t xml:space="preserve">Besten Dank für die wohlwollende Prüfung und Berücksichtigung unserer Anliegen. </w:t>
      </w:r>
    </w:p>
    <w:p w14:paraId="19A19B12" w14:textId="77777777" w:rsidR="00DA011D" w:rsidRPr="00DA011D" w:rsidRDefault="00DA011D" w:rsidP="00DA011D">
      <w:pPr>
        <w:spacing w:after="120"/>
        <w:rPr>
          <w:rFonts w:ascii="Calibri" w:hAnsi="Calibri" w:cs="Calibri"/>
        </w:rPr>
      </w:pPr>
    </w:p>
    <w:p w14:paraId="0E940B06" w14:textId="77777777" w:rsidR="00DA011D" w:rsidRPr="00DA011D" w:rsidRDefault="00DA011D" w:rsidP="00DA011D">
      <w:pPr>
        <w:spacing w:after="120"/>
        <w:rPr>
          <w:rFonts w:ascii="Calibri" w:hAnsi="Calibri" w:cs="Calibri"/>
        </w:rPr>
      </w:pPr>
      <w:r w:rsidRPr="00DA011D">
        <w:rPr>
          <w:rFonts w:ascii="Calibri" w:hAnsi="Calibri" w:cs="Calibri"/>
        </w:rPr>
        <w:t>Mit freundlichen Grüssen</w:t>
      </w:r>
    </w:p>
    <w:p w14:paraId="6077A5D7" w14:textId="77777777" w:rsidR="00DA011D" w:rsidRPr="00DA011D" w:rsidRDefault="00DA011D" w:rsidP="00DA011D">
      <w:pPr>
        <w:spacing w:after="120"/>
        <w:rPr>
          <w:rFonts w:ascii="Calibri" w:hAnsi="Calibri" w:cs="Calibri"/>
        </w:rPr>
      </w:pPr>
      <w:r w:rsidRPr="00DA011D">
        <w:rPr>
          <w:rFonts w:ascii="Calibri" w:hAnsi="Calibri" w:cs="Calibri"/>
          <w:noProof/>
        </w:rPr>
        <w:drawing>
          <wp:anchor distT="0" distB="0" distL="114300" distR="114300" simplePos="0" relativeHeight="251659264" behindDoc="1" locked="0" layoutInCell="1" allowOverlap="1" wp14:anchorId="11158BD7" wp14:editId="34FE9CBE">
            <wp:simplePos x="0" y="0"/>
            <wp:positionH relativeFrom="margin">
              <wp:posOffset>54321</wp:posOffset>
            </wp:positionH>
            <wp:positionV relativeFrom="paragraph">
              <wp:posOffset>48618</wp:posOffset>
            </wp:positionV>
            <wp:extent cx="1219200" cy="406400"/>
            <wp:effectExtent l="0" t="0" r="0" b="0"/>
            <wp:wrapTight wrapText="bothSides">
              <wp:wrapPolygon edited="0">
                <wp:start x="0" y="0"/>
                <wp:lineTo x="0" y="20250"/>
                <wp:lineTo x="21263" y="20250"/>
                <wp:lineTo x="21263" y="0"/>
                <wp:lineTo x="0" y="0"/>
              </wp:wrapPolygon>
            </wp:wrapTight>
            <wp:docPr id="7" name="Grafik 7" descr="Ein Bild, das Handschrift, Kalligrafie, Schrift,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Handschrift, Kalligrafie, Schrift, Typografie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406400"/>
                    </a:xfrm>
                    <a:prstGeom prst="rect">
                      <a:avLst/>
                    </a:prstGeom>
                  </pic:spPr>
                </pic:pic>
              </a:graphicData>
            </a:graphic>
            <wp14:sizeRelH relativeFrom="margin">
              <wp14:pctWidth>0</wp14:pctWidth>
            </wp14:sizeRelH>
            <wp14:sizeRelV relativeFrom="margin">
              <wp14:pctHeight>0</wp14:pctHeight>
            </wp14:sizeRelV>
          </wp:anchor>
        </w:drawing>
      </w:r>
    </w:p>
    <w:p w14:paraId="69221FF1" w14:textId="77777777" w:rsidR="00DA011D" w:rsidRPr="00DA011D" w:rsidRDefault="00DA011D" w:rsidP="00DA011D">
      <w:pPr>
        <w:spacing w:after="120"/>
        <w:rPr>
          <w:rFonts w:ascii="Calibri" w:hAnsi="Calibri" w:cs="Calibri"/>
        </w:rPr>
      </w:pPr>
    </w:p>
    <w:p w14:paraId="5D303D89" w14:textId="77777777" w:rsidR="00DA011D" w:rsidRPr="00DA011D" w:rsidRDefault="00DA011D" w:rsidP="00DA011D">
      <w:pPr>
        <w:tabs>
          <w:tab w:val="right" w:pos="9072"/>
        </w:tabs>
        <w:spacing w:after="120"/>
        <w:ind w:right="-2"/>
        <w:rPr>
          <w:rFonts w:ascii="Calibri" w:hAnsi="Calibri" w:cs="Calibri"/>
        </w:rPr>
      </w:pPr>
      <w:hyperlink r:id="rId8">
        <w:r w:rsidRPr="00DA011D">
          <w:rPr>
            <w:rFonts w:ascii="Calibri" w:hAnsi="Calibri" w:cs="Calibri"/>
          </w:rPr>
          <w:t>Babette Sigg Frank</w:t>
        </w:r>
      </w:hyperlink>
      <w:r w:rsidRPr="00DA011D">
        <w:rPr>
          <w:rFonts w:ascii="Calibri" w:hAnsi="Calibri" w:cs="Calibri"/>
        </w:rPr>
        <w:t>, Präsidentin</w:t>
      </w:r>
      <w:r w:rsidRPr="00DA011D">
        <w:rPr>
          <w:rFonts w:ascii="Calibri" w:hAnsi="Calibri" w:cs="Calibri"/>
        </w:rPr>
        <w:br/>
      </w:r>
      <w:hyperlink r:id="rId9" w:history="1">
        <w:r w:rsidRPr="00DA011D">
          <w:rPr>
            <w:rStyle w:val="Hyperlink"/>
            <w:rFonts w:ascii="Calibri" w:hAnsi="Calibri" w:cs="Calibri"/>
            <w:b/>
            <w:color w:val="83CAEB" w:themeColor="accent1" w:themeTint="66"/>
          </w:rPr>
          <w:t>praesidentin@konsum.ch</w:t>
        </w:r>
      </w:hyperlink>
      <w:r w:rsidRPr="00DA011D">
        <w:rPr>
          <w:rFonts w:ascii="Calibri" w:hAnsi="Calibri" w:cs="Calibri"/>
        </w:rPr>
        <w:t>; 076 373 83 18</w:t>
      </w:r>
    </w:p>
    <w:p w14:paraId="1EB59A92" w14:textId="77777777" w:rsidR="00DA011D" w:rsidRPr="00DA011D" w:rsidRDefault="00DA011D" w:rsidP="00DA011D">
      <w:pPr>
        <w:tabs>
          <w:tab w:val="right" w:pos="9072"/>
        </w:tabs>
        <w:spacing w:after="120"/>
        <w:ind w:right="-2"/>
        <w:rPr>
          <w:rFonts w:ascii="Calibri" w:hAnsi="Calibri" w:cs="Calibri"/>
          <w:sz w:val="18"/>
          <w:szCs w:val="18"/>
        </w:rPr>
      </w:pPr>
      <w:r w:rsidRPr="00DA011D">
        <w:rPr>
          <w:rFonts w:ascii="Calibri" w:hAnsi="Calibri" w:cs="Calibri"/>
          <w:sz w:val="18"/>
          <w:szCs w:val="18"/>
        </w:rPr>
        <w:t>Der Lesefreundlichkeit verpflichtet, verzichtet das kf auf Gendersprache und setzt auf generisches Maskulinum.</w:t>
      </w:r>
    </w:p>
    <w:p w14:paraId="6955C922" w14:textId="77777777" w:rsidR="00CB2E22" w:rsidRPr="00DA011D" w:rsidRDefault="00CB2E22"/>
    <w:sectPr w:rsidR="00CB2E22" w:rsidRPr="00DA011D" w:rsidSect="00DA011D">
      <w:headerReference w:type="default" r:id="rId10"/>
      <w:pgSz w:w="11906" w:h="16838"/>
      <w:pgMar w:top="2127" w:right="1134" w:bottom="993" w:left="1418" w:header="425"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8280" w14:textId="77777777" w:rsidR="00DA011D" w:rsidRDefault="00DA011D">
    <w:pPr>
      <w:pStyle w:val="Kopfzeile"/>
    </w:pPr>
    <w:r>
      <w:rPr>
        <w:noProof/>
      </w:rPr>
      <w:drawing>
        <wp:anchor distT="0" distB="0" distL="114300" distR="114300" simplePos="0" relativeHeight="251659264" behindDoc="1" locked="0" layoutInCell="1" allowOverlap="1" wp14:anchorId="22A5A7D4" wp14:editId="48243BC5">
          <wp:simplePos x="0" y="0"/>
          <wp:positionH relativeFrom="column">
            <wp:posOffset>5257165</wp:posOffset>
          </wp:positionH>
          <wp:positionV relativeFrom="paragraph">
            <wp:posOffset>-83820</wp:posOffset>
          </wp:positionV>
          <wp:extent cx="1256400" cy="1098000"/>
          <wp:effectExtent l="0" t="0" r="1270" b="0"/>
          <wp:wrapTight wrapText="bothSides">
            <wp:wrapPolygon edited="0">
              <wp:start x="16053" y="0"/>
              <wp:lineTo x="6224" y="1874"/>
              <wp:lineTo x="655" y="4123"/>
              <wp:lineTo x="0" y="8995"/>
              <wp:lineTo x="0" y="13492"/>
              <wp:lineTo x="2948" y="18364"/>
              <wp:lineTo x="5242" y="19864"/>
              <wp:lineTo x="10483" y="19864"/>
              <wp:lineTo x="12777" y="18364"/>
              <wp:lineTo x="16053" y="12368"/>
              <wp:lineTo x="20967" y="6371"/>
              <wp:lineTo x="21294" y="3748"/>
              <wp:lineTo x="20311" y="1124"/>
              <wp:lineTo x="18673" y="0"/>
              <wp:lineTo x="16053" y="0"/>
            </wp:wrapPolygon>
          </wp:wrapTight>
          <wp:docPr id="1537618370" name="Grafik 153761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256400" cy="109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C1865"/>
    <w:multiLevelType w:val="hybridMultilevel"/>
    <w:tmpl w:val="4648AD1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130673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1D"/>
    <w:rsid w:val="00000A20"/>
    <w:rsid w:val="000B3982"/>
    <w:rsid w:val="00111157"/>
    <w:rsid w:val="00140CFF"/>
    <w:rsid w:val="001A08FE"/>
    <w:rsid w:val="001B61AE"/>
    <w:rsid w:val="0022696E"/>
    <w:rsid w:val="00240027"/>
    <w:rsid w:val="002621CA"/>
    <w:rsid w:val="0027199E"/>
    <w:rsid w:val="002F0386"/>
    <w:rsid w:val="0030525F"/>
    <w:rsid w:val="003236AC"/>
    <w:rsid w:val="00327BE6"/>
    <w:rsid w:val="003378B6"/>
    <w:rsid w:val="00357980"/>
    <w:rsid w:val="00396847"/>
    <w:rsid w:val="003C0E39"/>
    <w:rsid w:val="003C4F93"/>
    <w:rsid w:val="003D6E6B"/>
    <w:rsid w:val="0040296B"/>
    <w:rsid w:val="004731B6"/>
    <w:rsid w:val="004B2995"/>
    <w:rsid w:val="004D0C68"/>
    <w:rsid w:val="004D5A16"/>
    <w:rsid w:val="00560090"/>
    <w:rsid w:val="005C1CAD"/>
    <w:rsid w:val="005E7848"/>
    <w:rsid w:val="00634F89"/>
    <w:rsid w:val="0066582A"/>
    <w:rsid w:val="00677F92"/>
    <w:rsid w:val="006A770D"/>
    <w:rsid w:val="00705D80"/>
    <w:rsid w:val="0072065C"/>
    <w:rsid w:val="00735EF7"/>
    <w:rsid w:val="0076394B"/>
    <w:rsid w:val="007814A0"/>
    <w:rsid w:val="007B1958"/>
    <w:rsid w:val="007D419A"/>
    <w:rsid w:val="008051D3"/>
    <w:rsid w:val="00897F75"/>
    <w:rsid w:val="008B103D"/>
    <w:rsid w:val="008B4E55"/>
    <w:rsid w:val="008D7357"/>
    <w:rsid w:val="00937594"/>
    <w:rsid w:val="0099507B"/>
    <w:rsid w:val="00A17316"/>
    <w:rsid w:val="00A26A78"/>
    <w:rsid w:val="00A4488B"/>
    <w:rsid w:val="00A635B6"/>
    <w:rsid w:val="00AD1225"/>
    <w:rsid w:val="00AE154A"/>
    <w:rsid w:val="00B0561E"/>
    <w:rsid w:val="00B133DE"/>
    <w:rsid w:val="00B1401F"/>
    <w:rsid w:val="00B30BA6"/>
    <w:rsid w:val="00B44DFA"/>
    <w:rsid w:val="00B969E3"/>
    <w:rsid w:val="00BB7FC5"/>
    <w:rsid w:val="00C210EE"/>
    <w:rsid w:val="00C3073A"/>
    <w:rsid w:val="00C52B86"/>
    <w:rsid w:val="00C712CC"/>
    <w:rsid w:val="00C74D9A"/>
    <w:rsid w:val="00CB2E22"/>
    <w:rsid w:val="00CE10CE"/>
    <w:rsid w:val="00D93885"/>
    <w:rsid w:val="00DA011D"/>
    <w:rsid w:val="00DC4983"/>
    <w:rsid w:val="00DD52AA"/>
    <w:rsid w:val="00E06038"/>
    <w:rsid w:val="00E153A0"/>
    <w:rsid w:val="00E528F6"/>
    <w:rsid w:val="00F2193D"/>
    <w:rsid w:val="00F92637"/>
    <w:rsid w:val="00FC64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DC6C"/>
  <w15:chartTrackingRefBased/>
  <w15:docId w15:val="{AAA52EB9-37B4-40ED-9F05-C01E2F06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011D"/>
    <w:rPr>
      <w:rFonts w:asciiTheme="minorHAnsi" w:hAnsiTheme="minorHAnsi"/>
      <w:kern w:val="0"/>
      <w14:ligatures w14:val="none"/>
    </w:rPr>
  </w:style>
  <w:style w:type="paragraph" w:styleId="berschrift1">
    <w:name w:val="heading 1"/>
    <w:basedOn w:val="Standard"/>
    <w:next w:val="Standard"/>
    <w:link w:val="berschrift1Zchn"/>
    <w:uiPriority w:val="9"/>
    <w:qFormat/>
    <w:rsid w:val="00DA0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A0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A011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A011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011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01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01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01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01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011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011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011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011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011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A011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011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A011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011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A0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01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01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A011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DA01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011D"/>
    <w:rPr>
      <w:i/>
      <w:iCs/>
      <w:color w:val="404040" w:themeColor="text1" w:themeTint="BF"/>
    </w:rPr>
  </w:style>
  <w:style w:type="paragraph" w:styleId="Listenabsatz">
    <w:name w:val="List Paragraph"/>
    <w:basedOn w:val="Standard"/>
    <w:uiPriority w:val="34"/>
    <w:qFormat/>
    <w:rsid w:val="00DA011D"/>
    <w:pPr>
      <w:ind w:left="720"/>
      <w:contextualSpacing/>
    </w:pPr>
  </w:style>
  <w:style w:type="character" w:styleId="IntensiveHervorhebung">
    <w:name w:val="Intense Emphasis"/>
    <w:basedOn w:val="Absatz-Standardschriftart"/>
    <w:uiPriority w:val="21"/>
    <w:qFormat/>
    <w:rsid w:val="00DA011D"/>
    <w:rPr>
      <w:i/>
      <w:iCs/>
      <w:color w:val="0F4761" w:themeColor="accent1" w:themeShade="BF"/>
    </w:rPr>
  </w:style>
  <w:style w:type="paragraph" w:styleId="IntensivesZitat">
    <w:name w:val="Intense Quote"/>
    <w:basedOn w:val="Standard"/>
    <w:next w:val="Standard"/>
    <w:link w:val="IntensivesZitatZchn"/>
    <w:uiPriority w:val="30"/>
    <w:qFormat/>
    <w:rsid w:val="00DA0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011D"/>
    <w:rPr>
      <w:i/>
      <w:iCs/>
      <w:color w:val="0F4761" w:themeColor="accent1" w:themeShade="BF"/>
    </w:rPr>
  </w:style>
  <w:style w:type="character" w:styleId="IntensiverVerweis">
    <w:name w:val="Intense Reference"/>
    <w:basedOn w:val="Absatz-Standardschriftart"/>
    <w:uiPriority w:val="32"/>
    <w:qFormat/>
    <w:rsid w:val="00DA011D"/>
    <w:rPr>
      <w:b/>
      <w:bCs/>
      <w:smallCaps/>
      <w:color w:val="0F4761" w:themeColor="accent1" w:themeShade="BF"/>
      <w:spacing w:val="5"/>
    </w:rPr>
  </w:style>
  <w:style w:type="paragraph" w:styleId="Kopfzeile">
    <w:name w:val="header"/>
    <w:basedOn w:val="Standard"/>
    <w:link w:val="KopfzeileZchn"/>
    <w:uiPriority w:val="99"/>
    <w:unhideWhenUsed/>
    <w:rsid w:val="00DA01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011D"/>
    <w:rPr>
      <w:rFonts w:asciiTheme="minorHAnsi" w:hAnsiTheme="minorHAnsi"/>
      <w:kern w:val="0"/>
      <w14:ligatures w14:val="none"/>
    </w:rPr>
  </w:style>
  <w:style w:type="character" w:styleId="Hyperlink">
    <w:name w:val="Hyperlink"/>
    <w:basedOn w:val="Absatz-Standardschriftart"/>
    <w:uiPriority w:val="99"/>
    <w:unhideWhenUsed/>
    <w:rsid w:val="00DA011D"/>
    <w:rPr>
      <w:color w:val="0000FF"/>
      <w:u w:val="single"/>
    </w:rPr>
  </w:style>
  <w:style w:type="paragraph" w:styleId="KeinLeerraum">
    <w:name w:val="No Spacing"/>
    <w:uiPriority w:val="1"/>
    <w:qFormat/>
    <w:rsid w:val="00DA011D"/>
    <w:pPr>
      <w:spacing w:after="0" w:line="240" w:lineRule="auto"/>
    </w:pPr>
    <w:rPr>
      <w:rFonts w:asciiTheme="minorHAnsi" w:hAnsiTheme="minorHAnsi"/>
      <w:kern w:val="0"/>
      <w14:ligatures w14:val="none"/>
    </w:rPr>
  </w:style>
  <w:style w:type="character" w:styleId="NichtaufgelsteErwhnung">
    <w:name w:val="Unresolved Mention"/>
    <w:basedOn w:val="Absatz-Standardschriftart"/>
    <w:uiPriority w:val="99"/>
    <w:semiHidden/>
    <w:unhideWhenUsed/>
    <w:rsid w:val="00D93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sum.ch/ueber-uns/vorstan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mr-consultations@bag.adimn.ch" TargetMode="External"/><Relationship Id="rId11" Type="http://schemas.openxmlformats.org/officeDocument/2006/relationships/fontTable" Target="fontTable.xml"/><Relationship Id="rId5" Type="http://schemas.openxmlformats.org/officeDocument/2006/relationships/hyperlink" Target="mailto:gever@bag.admin.ch"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aesidentin@konsum.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5768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Präsidentin</dc:creator>
  <cp:keywords/>
  <dc:description/>
  <cp:lastModifiedBy>Präsidentin</cp:lastModifiedBy>
  <cp:revision>1</cp:revision>
  <dcterms:created xsi:type="dcterms:W3CDTF">2026-08-25T12:58:00Z</dcterms:created>
  <dcterms:modified xsi:type="dcterms:W3CDTF">2026-08-25T15:00:00Z</dcterms:modified>
</cp:coreProperties>
</file>